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2D4D" w:rsidRDefault="00282D4D">
      <w:pPr>
        <w:pStyle w:val="Normlnweb"/>
        <w:spacing w:before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Město Hlinsko</w:t>
      </w:r>
    </w:p>
    <w:p w:rsidR="00282D4D" w:rsidRDefault="00282D4D">
      <w:pPr>
        <w:pStyle w:val="Normlnweb"/>
        <w:spacing w:before="120"/>
        <w:ind w:right="-82"/>
        <w:jc w:val="center"/>
      </w:pPr>
      <w:r>
        <w:rPr>
          <w:rFonts w:cs="Times New Roman"/>
          <w:b/>
          <w:bCs/>
          <w:sz w:val="28"/>
          <w:szCs w:val="28"/>
        </w:rPr>
        <w:t>Zastupitelstvo města</w:t>
      </w:r>
    </w:p>
    <w:p w:rsidR="00282D4D" w:rsidRDefault="00A64C99">
      <w:pPr>
        <w:pStyle w:val="Normlnweb"/>
        <w:ind w:right="-1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0095" cy="8839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D4D" w:rsidRDefault="00282D4D">
      <w:pPr>
        <w:pStyle w:val="Normlnweb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282D4D" w:rsidRDefault="00282D4D">
      <w:pPr>
        <w:pStyle w:val="Normlnweb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282D4D" w:rsidRDefault="00282D4D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282D4D" w:rsidRDefault="00282D4D">
      <w:pPr>
        <w:pStyle w:val="Normlnweb"/>
        <w:spacing w:before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Obecně závazná vyhláška</w:t>
      </w:r>
    </w:p>
    <w:p w:rsidR="00282D4D" w:rsidRDefault="00282D4D">
      <w:pPr>
        <w:pStyle w:val="Normlnweb"/>
        <w:tabs>
          <w:tab w:val="left" w:pos="9638"/>
        </w:tabs>
        <w:spacing w:before="0"/>
        <w:ind w:right="-82"/>
        <w:jc w:val="center"/>
        <w:rPr>
          <w:color w:val="80008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č. 4/2017, </w:t>
      </w:r>
    </w:p>
    <w:p w:rsidR="00282D4D" w:rsidRDefault="00282D4D">
      <w:pPr>
        <w:pStyle w:val="Zkladntext"/>
        <w:jc w:val="center"/>
        <w:rPr>
          <w:bCs/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>o stanovení  podmínek pro pořádání veřejnosti přístupných sportovních a kulturních podniků</w:t>
      </w:r>
    </w:p>
    <w:p w:rsidR="00282D4D" w:rsidRDefault="00282D4D">
      <w:pPr>
        <w:pStyle w:val="Normlnweb"/>
        <w:spacing w:before="0" w:after="0"/>
        <w:ind w:right="284"/>
        <w:jc w:val="center"/>
        <w:rPr>
          <w:rFonts w:cs="Times New Roman"/>
          <w:b/>
          <w:bCs/>
          <w:color w:val="800080"/>
          <w:sz w:val="28"/>
          <w:szCs w:val="28"/>
        </w:rPr>
      </w:pPr>
    </w:p>
    <w:p w:rsidR="00282D4D" w:rsidRDefault="00282D4D">
      <w:pPr>
        <w:pStyle w:val="Zkladntextodsazen"/>
        <w:spacing w:after="0"/>
        <w:ind w:left="0"/>
        <w:jc w:val="both"/>
        <w:rPr>
          <w:b/>
        </w:rPr>
      </w:pPr>
      <w:r>
        <w:rPr>
          <w:b/>
        </w:rPr>
        <w:t>Zastupitelstvo města Hlinska na svém zasedání dne 8. března 2017 usnesením č. ZM/81 se usneslo vydat na základě ustanovení § 10 písm. a) a § 84 odst. 2 písm. h) zákona č. 128/2000 Sb., o obcích (obecní zřízení), ve znění pozdějších předpisů, tuto obecně závaznou vyhlášku (dále jen „vyhláška“):</w:t>
      </w:r>
    </w:p>
    <w:p w:rsidR="00282D4D" w:rsidRDefault="00282D4D">
      <w:pPr>
        <w:spacing w:before="120" w:after="120"/>
        <w:jc w:val="center"/>
        <w:rPr>
          <w:b/>
        </w:rPr>
      </w:pPr>
    </w:p>
    <w:p w:rsidR="00282D4D" w:rsidRDefault="00282D4D">
      <w:pPr>
        <w:jc w:val="center"/>
        <w:rPr>
          <w:b/>
        </w:rPr>
      </w:pPr>
      <w:r>
        <w:rPr>
          <w:b/>
        </w:rPr>
        <w:t>Čl. 1</w:t>
      </w:r>
    </w:p>
    <w:p w:rsidR="00282D4D" w:rsidRDefault="00282D4D">
      <w:pPr>
        <w:jc w:val="center"/>
        <w:rPr>
          <w:b/>
        </w:rPr>
      </w:pPr>
      <w:r>
        <w:rPr>
          <w:b/>
        </w:rPr>
        <w:t>Předmět a cíl obecně závazné vyhlášky</w:t>
      </w:r>
    </w:p>
    <w:p w:rsidR="00282D4D" w:rsidRDefault="00282D4D">
      <w:pPr>
        <w:jc w:val="center"/>
        <w:rPr>
          <w:b/>
        </w:rPr>
      </w:pPr>
    </w:p>
    <w:p w:rsidR="00282D4D" w:rsidRDefault="00282D4D">
      <w:pPr>
        <w:spacing w:before="240" w:after="120"/>
        <w:jc w:val="both"/>
      </w:pPr>
      <w:r>
        <w:t xml:space="preserve">(1) </w:t>
      </w:r>
      <w:r>
        <w:tab/>
        <w:t xml:space="preserve">Předmětem této vyhlášky je stanovení závazných podmínek pro pořádání, průběh a ukončení </w:t>
      </w:r>
      <w:r>
        <w:tab/>
        <w:t xml:space="preserve">veřejnosti přístupných sportovních a kulturních podniků, včetně tanečních zábav a </w:t>
      </w:r>
      <w:r>
        <w:tab/>
        <w:t xml:space="preserve">diskoték a jiných kulturních podniků spojených s veřejnou produkcí hudby  ve </w:t>
      </w:r>
      <w:r>
        <w:tab/>
        <w:t xml:space="preserve">venkovních </w:t>
      </w:r>
      <w:r>
        <w:tab/>
        <w:t xml:space="preserve">prostorách  (dále jen „podniky“) v  rozsahu nezbytném k zajištění </w:t>
      </w:r>
      <w:r>
        <w:tab/>
        <w:t>veřejného pořádku.</w:t>
      </w:r>
    </w:p>
    <w:p w:rsidR="00282D4D" w:rsidRDefault="00282D4D">
      <w:pPr>
        <w:spacing w:before="240" w:after="120"/>
        <w:jc w:val="both"/>
      </w:pPr>
      <w:r>
        <w:t xml:space="preserve">(2) </w:t>
      </w:r>
      <w:r>
        <w:tab/>
        <w:t>Cílem této vyhlášky je vytvořit opatření směřující k ochraně veřejného pořádku.</w:t>
      </w:r>
    </w:p>
    <w:p w:rsidR="00282D4D" w:rsidRDefault="00282D4D">
      <w:pPr>
        <w:spacing w:before="240" w:after="120"/>
        <w:jc w:val="both"/>
      </w:pPr>
    </w:p>
    <w:p w:rsidR="00282D4D" w:rsidRDefault="00282D4D">
      <w:pPr>
        <w:jc w:val="center"/>
        <w:rPr>
          <w:b/>
          <w:bCs/>
        </w:rPr>
      </w:pPr>
      <w:r>
        <w:rPr>
          <w:b/>
          <w:bCs/>
        </w:rPr>
        <w:t>Čl. 2</w:t>
      </w:r>
    </w:p>
    <w:p w:rsidR="00282D4D" w:rsidRDefault="00282D4D">
      <w:pPr>
        <w:jc w:val="center"/>
        <w:rPr>
          <w:b/>
          <w:bCs/>
        </w:rPr>
      </w:pPr>
      <w:r>
        <w:rPr>
          <w:b/>
          <w:bCs/>
        </w:rPr>
        <w:t>Vymezení základních pojmů</w:t>
      </w:r>
    </w:p>
    <w:p w:rsidR="00282D4D" w:rsidRDefault="00282D4D">
      <w:pPr>
        <w:jc w:val="center"/>
        <w:rPr>
          <w:b/>
          <w:bCs/>
        </w:rPr>
      </w:pPr>
    </w:p>
    <w:p w:rsidR="00282D4D" w:rsidRDefault="00282D4D">
      <w:pPr>
        <w:spacing w:before="120" w:after="120"/>
        <w:jc w:val="both"/>
      </w:pPr>
      <w:r>
        <w:t xml:space="preserve">(1) </w:t>
      </w:r>
      <w:r>
        <w:tab/>
        <w:t xml:space="preserve">Činností, jež by mohla narušit veřejný pořádek, je „veřejná produkce hudby“ v souvislosti s </w:t>
      </w:r>
      <w:r>
        <w:tab/>
        <w:t xml:space="preserve">konáním veřejnosti přístupných sportovních a kulturních podniků, včetně tanečních zábav a </w:t>
      </w:r>
      <w:r>
        <w:tab/>
        <w:t>diskoték konaných ve venkovních prostorách.</w:t>
      </w:r>
    </w:p>
    <w:p w:rsidR="00282D4D" w:rsidRDefault="00282D4D">
      <w:pPr>
        <w:spacing w:before="120" w:after="120"/>
        <w:jc w:val="both"/>
      </w:pPr>
      <w:r>
        <w:t>(2)</w:t>
      </w:r>
      <w:r>
        <w:tab/>
        <w:t xml:space="preserve">Pořádajícím je fyzická osoba, právnická osoba nebo fyzická osoba podnikající, která </w:t>
      </w:r>
      <w:r>
        <w:tab/>
        <w:t>podniky organizačně a pořádkově zajišťuje.</w:t>
      </w:r>
    </w:p>
    <w:p w:rsidR="00282D4D" w:rsidRDefault="00282D4D">
      <w:pPr>
        <w:spacing w:before="120" w:after="120"/>
        <w:jc w:val="both"/>
      </w:pPr>
      <w:r>
        <w:t>(3)</w:t>
      </w:r>
      <w:r>
        <w:tab/>
        <w:t xml:space="preserve">Pořadatelem a pořadatelskou službou se rozumí osoba nebo osoby, které přímo na místě </w:t>
      </w:r>
      <w:r>
        <w:tab/>
        <w:t xml:space="preserve">samém podnik organizačně a pořádkově zajišťují a které jsou jako pořadatelé viditelně </w:t>
      </w:r>
      <w:r>
        <w:tab/>
        <w:t>označeni.</w:t>
      </w:r>
    </w:p>
    <w:p w:rsidR="00282D4D" w:rsidRDefault="00282D4D">
      <w:pPr>
        <w:spacing w:before="120" w:after="120"/>
        <w:jc w:val="both"/>
      </w:pPr>
    </w:p>
    <w:p w:rsidR="00282D4D" w:rsidRDefault="00282D4D">
      <w:pPr>
        <w:jc w:val="center"/>
        <w:rPr>
          <w:b/>
          <w:bCs/>
        </w:rPr>
      </w:pPr>
      <w:r>
        <w:rPr>
          <w:b/>
          <w:bCs/>
        </w:rPr>
        <w:lastRenderedPageBreak/>
        <w:t>Čl. 3</w:t>
      </w:r>
    </w:p>
    <w:p w:rsidR="00282D4D" w:rsidRDefault="00282D4D">
      <w:pPr>
        <w:jc w:val="center"/>
        <w:rPr>
          <w:b/>
          <w:bCs/>
        </w:rPr>
      </w:pPr>
      <w:r>
        <w:rPr>
          <w:b/>
          <w:bCs/>
        </w:rPr>
        <w:t>Oznamovací povinnost</w:t>
      </w:r>
    </w:p>
    <w:p w:rsidR="00282D4D" w:rsidRDefault="00282D4D">
      <w:pPr>
        <w:jc w:val="center"/>
        <w:rPr>
          <w:b/>
          <w:bCs/>
        </w:rPr>
      </w:pPr>
    </w:p>
    <w:p w:rsidR="00282D4D" w:rsidRDefault="00282D4D">
      <w:r>
        <w:t>(1) Pořadatel podniku je povinen oznámit nejméně 15 dnů před jeho konáním Městskému úřadu</w:t>
      </w:r>
    </w:p>
    <w:p w:rsidR="00282D4D" w:rsidRDefault="00282D4D">
      <w:r>
        <w:t xml:space="preserve">      Hlinsko, Odbor Kancelář tajemníka:</w:t>
      </w:r>
    </w:p>
    <w:p w:rsidR="00282D4D" w:rsidRDefault="00282D4D"/>
    <w:p w:rsidR="00282D4D" w:rsidRDefault="00282D4D">
      <w:r>
        <w:t xml:space="preserve">a) jméno, příjmení, datum narození, adresu místa trvalého pobytu a adresu bydliště, je-li odlišná od    </w:t>
      </w:r>
    </w:p>
    <w:p w:rsidR="00282D4D" w:rsidRDefault="00282D4D">
      <w:r>
        <w:t xml:space="preserve">    místa trvalého pobytu pořadatele; je-li pořadatelem právnická osoba, název či obchodní jméno, </w:t>
      </w:r>
    </w:p>
    <w:p w:rsidR="00282D4D" w:rsidRDefault="00282D4D">
      <w:r>
        <w:t xml:space="preserve">    sídlo a označení osoby, která za tuto právnickou osobu jedná,</w:t>
      </w:r>
    </w:p>
    <w:p w:rsidR="00282D4D" w:rsidRDefault="00282D4D"/>
    <w:p w:rsidR="00282D4D" w:rsidRDefault="00282D4D">
      <w:r>
        <w:t xml:space="preserve">b) označení druhu podniku (opakujících se podniků), dobu a místo konání včetně údaje o jeho </w:t>
      </w:r>
    </w:p>
    <w:p w:rsidR="00282D4D" w:rsidRDefault="00282D4D">
      <w:r>
        <w:t xml:space="preserve">    počátku a ukončení,</w:t>
      </w:r>
    </w:p>
    <w:p w:rsidR="00282D4D" w:rsidRDefault="00282D4D"/>
    <w:p w:rsidR="00282D4D" w:rsidRDefault="00282D4D">
      <w:r>
        <w:t>c) předpokládaný počet účastníků tohoto podniku,</w:t>
      </w:r>
    </w:p>
    <w:p w:rsidR="00282D4D" w:rsidRDefault="00282D4D"/>
    <w:p w:rsidR="00282D4D" w:rsidRDefault="00282D4D">
      <w:r>
        <w:t>d) počet osob zajišťujících pořadatelskou službu a způsob jejich označení,</w:t>
      </w:r>
    </w:p>
    <w:p w:rsidR="00282D4D" w:rsidRDefault="00282D4D"/>
    <w:p w:rsidR="00282D4D" w:rsidRDefault="00282D4D">
      <w:r>
        <w:t xml:space="preserve">e) údaje o osobě pověřené pořadatelem podniku k osobní spolupráci s orgány veřejné moci, pokud </w:t>
      </w:r>
    </w:p>
    <w:p w:rsidR="00282D4D" w:rsidRDefault="00282D4D">
      <w:pPr>
        <w:rPr>
          <w:b/>
        </w:rPr>
      </w:pPr>
      <w:r>
        <w:t xml:space="preserve">   pořadatel podniku tuto osobu určí.</w:t>
      </w:r>
    </w:p>
    <w:p w:rsidR="00282D4D" w:rsidRDefault="00282D4D">
      <w:pPr>
        <w:spacing w:before="240" w:after="120"/>
        <w:rPr>
          <w:b/>
        </w:rPr>
      </w:pPr>
    </w:p>
    <w:p w:rsidR="00282D4D" w:rsidRDefault="00282D4D">
      <w:pPr>
        <w:pStyle w:val="Normlnweb"/>
        <w:spacing w:before="0" w:after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Čl. 4</w:t>
      </w:r>
    </w:p>
    <w:p w:rsidR="00282D4D" w:rsidRDefault="00282D4D">
      <w:pPr>
        <w:pStyle w:val="Normlnweb"/>
        <w:spacing w:before="0" w:after="0"/>
        <w:jc w:val="center"/>
        <w:rPr>
          <w:rFonts w:cs="Times New Roman"/>
        </w:rPr>
      </w:pPr>
      <w:r>
        <w:rPr>
          <w:rFonts w:cs="Times New Roman"/>
          <w:b/>
          <w:color w:val="000000"/>
        </w:rPr>
        <w:t>Zrušovací ustanovení</w:t>
      </w:r>
    </w:p>
    <w:p w:rsidR="00282D4D" w:rsidRDefault="00282D4D">
      <w:pPr>
        <w:pStyle w:val="Normlnweb"/>
        <w:spacing w:before="0" w:after="0"/>
        <w:jc w:val="center"/>
        <w:rPr>
          <w:rFonts w:cs="Times New Roman"/>
        </w:rPr>
      </w:pPr>
    </w:p>
    <w:p w:rsidR="00282D4D" w:rsidRDefault="00282D4D">
      <w:pPr>
        <w:pStyle w:val="Normlnweb"/>
        <w:tabs>
          <w:tab w:val="left" w:pos="360"/>
          <w:tab w:val="left" w:pos="720"/>
        </w:tabs>
        <w:spacing w:before="0" w:after="0"/>
        <w:ind w:right="284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Touto vyhláškou se ruší obecně závazná vyhláška města Hlinsko č. 14/2005 o veřejném pořádku, čistotě města a pořádání veřejnosti přístupných podniků, ze dne 19. prosince 2005; obecně závazná vyhláška č. 3/2011, </w:t>
      </w:r>
      <w:r>
        <w:t xml:space="preserve">kterou se mění a doplňuje obecně závazná vyhláška města Hlinsko č. 14/2005, o veřejném pořádku, čistotě města a pořádání veřejných produkcí, ze dne 14. prosince 2011; </w:t>
      </w:r>
      <w:r>
        <w:rPr>
          <w:rFonts w:cs="Times New Roman"/>
        </w:rPr>
        <w:t xml:space="preserve">obecně závazná vyhláška č. 3/2012, </w:t>
      </w:r>
      <w:r>
        <w:t>kterou se mění a doplňuje obecně závazná vyhláška města Hlinsko č. 14/2005 o veřejném pořádku, čistotě města a pořádání veřejnosti přístupných podniků, ze dne 26. dubna 2012;</w:t>
      </w:r>
      <w:r>
        <w:rPr>
          <w:rFonts w:cs="Times New Roman"/>
        </w:rPr>
        <w:t xml:space="preserve"> a obecně závazná vyhláška č. 3/2013, </w:t>
      </w:r>
      <w:r>
        <w:t>kterou se mění Obecně závazná vyhláška č. 14/2005 o veřejném pořádku, čistotě města a pořádání veřejnosti přístupných podniku, ze dne 15. května 2013</w:t>
      </w:r>
      <w:r>
        <w:rPr>
          <w:rFonts w:cs="Times New Roman"/>
        </w:rPr>
        <w:t>.</w:t>
      </w:r>
    </w:p>
    <w:p w:rsidR="00282D4D" w:rsidRDefault="00282D4D">
      <w:pPr>
        <w:pStyle w:val="Normlnweb"/>
        <w:tabs>
          <w:tab w:val="left" w:pos="360"/>
          <w:tab w:val="left" w:pos="720"/>
        </w:tabs>
        <w:spacing w:before="0" w:after="0"/>
        <w:ind w:right="284"/>
        <w:jc w:val="both"/>
        <w:rPr>
          <w:rFonts w:cs="Times New Roman"/>
          <w:b/>
          <w:bCs/>
        </w:rPr>
      </w:pPr>
    </w:p>
    <w:p w:rsidR="00282D4D" w:rsidRDefault="00282D4D">
      <w:pPr>
        <w:pStyle w:val="Normlnweb"/>
        <w:spacing w:before="120" w:after="120"/>
        <w:ind w:right="-82"/>
        <w:rPr>
          <w:rFonts w:cs="Times New Roman"/>
        </w:rPr>
      </w:pPr>
    </w:p>
    <w:p w:rsidR="00282D4D" w:rsidRDefault="00282D4D">
      <w:pPr>
        <w:pStyle w:val="Normlnweb"/>
        <w:tabs>
          <w:tab w:val="left" w:pos="360"/>
          <w:tab w:val="left" w:pos="720"/>
        </w:tabs>
        <w:spacing w:before="0" w:after="0"/>
        <w:jc w:val="center"/>
        <w:rPr>
          <w:rFonts w:cs="Times New Roman"/>
          <w:b/>
          <w:bCs/>
          <w:spacing w:val="20"/>
        </w:rPr>
      </w:pPr>
      <w:r>
        <w:rPr>
          <w:rFonts w:cs="Times New Roman"/>
          <w:b/>
          <w:bCs/>
        </w:rPr>
        <w:t>Čl. 5</w:t>
      </w:r>
    </w:p>
    <w:p w:rsidR="00282D4D" w:rsidRDefault="00282D4D">
      <w:pPr>
        <w:pStyle w:val="Normlnweb"/>
        <w:tabs>
          <w:tab w:val="left" w:pos="360"/>
          <w:tab w:val="left" w:pos="720"/>
        </w:tabs>
        <w:spacing w:before="0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pacing w:val="20"/>
        </w:rPr>
        <w:t xml:space="preserve">Účinnost </w:t>
      </w:r>
    </w:p>
    <w:p w:rsidR="00282D4D" w:rsidRDefault="00282D4D">
      <w:pPr>
        <w:pStyle w:val="Normlnweb"/>
        <w:tabs>
          <w:tab w:val="left" w:pos="360"/>
          <w:tab w:val="left" w:pos="720"/>
        </w:tabs>
        <w:spacing w:before="0" w:after="0"/>
        <w:jc w:val="center"/>
        <w:rPr>
          <w:rFonts w:cs="Times New Roman"/>
          <w:b/>
          <w:bCs/>
        </w:rPr>
      </w:pPr>
    </w:p>
    <w:p w:rsidR="00282D4D" w:rsidRDefault="00282D4D">
      <w:pPr>
        <w:pStyle w:val="Normlnweb"/>
        <w:tabs>
          <w:tab w:val="left" w:pos="360"/>
          <w:tab w:val="left" w:pos="720"/>
        </w:tabs>
        <w:spacing w:before="0" w:after="0"/>
        <w:jc w:val="both"/>
        <w:rPr>
          <w:rFonts w:cs="Times New Roman"/>
        </w:rPr>
      </w:pPr>
      <w:r>
        <w:rPr>
          <w:rFonts w:cs="Times New Roman"/>
          <w:spacing w:val="20"/>
        </w:rPr>
        <w:t>Tato vyhláška nab</w:t>
      </w:r>
      <w:bookmarkStart w:id="0" w:name="_GoBack"/>
      <w:bookmarkEnd w:id="0"/>
      <w:r>
        <w:rPr>
          <w:rFonts w:cs="Times New Roman"/>
          <w:spacing w:val="20"/>
        </w:rPr>
        <w:t>ývá účinnosti dnem 1. dubna 2017.</w:t>
      </w:r>
    </w:p>
    <w:p w:rsidR="00282D4D" w:rsidRDefault="00282D4D">
      <w:pPr>
        <w:pStyle w:val="Default"/>
        <w:rPr>
          <w:rFonts w:ascii="Times New Roman" w:hAnsi="Times New Roman" w:cs="Times New Roman"/>
        </w:rPr>
      </w:pPr>
    </w:p>
    <w:p w:rsidR="00282D4D" w:rsidRDefault="00282D4D">
      <w:pPr>
        <w:pStyle w:val="Default"/>
        <w:rPr>
          <w:rFonts w:ascii="Times New Roman" w:hAnsi="Times New Roman" w:cs="Times New Roman"/>
        </w:rPr>
      </w:pPr>
    </w:p>
    <w:p w:rsidR="00282D4D" w:rsidRDefault="00282D4D">
      <w:r>
        <w:t xml:space="preserve">  </w:t>
      </w:r>
    </w:p>
    <w:p w:rsidR="00282D4D" w:rsidRDefault="00282D4D">
      <w:r>
        <w:t xml:space="preserve"> </w:t>
      </w:r>
      <w:r>
        <w:tab/>
        <w:t xml:space="preserve">  …….…………………….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:rsidR="00282D4D" w:rsidRDefault="00282D4D">
      <w:r>
        <w:t xml:space="preserve">    </w:t>
      </w:r>
      <w:r>
        <w:tab/>
        <w:t xml:space="preserve">      Miroslav Krčil, DiS.</w:t>
      </w:r>
      <w:r w:rsidR="00DF4DCF">
        <w:t xml:space="preserve"> v. r. </w:t>
      </w:r>
      <w:r w:rsidR="00DF4DCF">
        <w:tab/>
      </w:r>
      <w:r w:rsidR="00DF4DCF">
        <w:tab/>
      </w:r>
      <w:r w:rsidR="00DF4DCF">
        <w:tab/>
      </w:r>
      <w:r w:rsidR="00DF4DCF">
        <w:tab/>
        <w:t xml:space="preserve">          </w:t>
      </w:r>
      <w:r>
        <w:t>Zdeněk Eis</w:t>
      </w:r>
      <w:r w:rsidR="00DF4DCF">
        <w:t xml:space="preserve"> v. r. </w:t>
      </w:r>
    </w:p>
    <w:p w:rsidR="00282D4D" w:rsidRDefault="00282D4D">
      <w:pPr>
        <w:tabs>
          <w:tab w:val="left" w:pos="6615"/>
        </w:tabs>
      </w:pPr>
      <w:r>
        <w:t xml:space="preserve">                    starosta města                                        </w:t>
      </w:r>
      <w:r w:rsidR="00DF4DCF">
        <w:t xml:space="preserve">                             </w:t>
      </w:r>
      <w:r>
        <w:t xml:space="preserve"> místostarosta města</w:t>
      </w:r>
      <w:r>
        <w:tab/>
      </w:r>
    </w:p>
    <w:p w:rsidR="00282D4D" w:rsidRDefault="00282D4D"/>
    <w:p w:rsidR="00282D4D" w:rsidRDefault="00282D4D">
      <w:pPr>
        <w:rPr>
          <w:sz w:val="22"/>
          <w:szCs w:val="22"/>
        </w:rPr>
      </w:pPr>
    </w:p>
    <w:p w:rsidR="00282D4D" w:rsidRDefault="00282D4D">
      <w:pPr>
        <w:rPr>
          <w:sz w:val="22"/>
          <w:szCs w:val="22"/>
        </w:rPr>
      </w:pPr>
    </w:p>
    <w:p w:rsidR="00282D4D" w:rsidRDefault="00282D4D">
      <w:pPr>
        <w:rPr>
          <w:sz w:val="20"/>
          <w:szCs w:val="20"/>
        </w:rPr>
      </w:pPr>
      <w:r>
        <w:rPr>
          <w:sz w:val="20"/>
          <w:szCs w:val="20"/>
        </w:rPr>
        <w:t>Vyvěšeno na úřední desce dne: 14. března 2017</w:t>
      </w:r>
    </w:p>
    <w:p w:rsidR="00282D4D" w:rsidRDefault="00282D4D">
      <w:pPr>
        <w:rPr>
          <w:sz w:val="20"/>
          <w:szCs w:val="20"/>
        </w:rPr>
      </w:pPr>
      <w:r>
        <w:rPr>
          <w:sz w:val="20"/>
          <w:szCs w:val="20"/>
        </w:rPr>
        <w:t xml:space="preserve">Sejmuto z úřední desky dne: </w:t>
      </w:r>
    </w:p>
    <w:p w:rsidR="00282D4D" w:rsidRDefault="00282D4D">
      <w:r>
        <w:rPr>
          <w:sz w:val="20"/>
          <w:szCs w:val="20"/>
        </w:rPr>
        <w:t>Zveřejnění vyhlášky bylo shodně provedeno na elektronické úřední desce.</w:t>
      </w:r>
    </w:p>
    <w:sectPr w:rsidR="00282D4D">
      <w:footerReference w:type="default" r:id="rId8"/>
      <w:footerReference w:type="first" r:id="rId9"/>
      <w:pgSz w:w="11906" w:h="16838"/>
      <w:pgMar w:top="1077" w:right="1134" w:bottom="1167" w:left="1134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4D" w:rsidRDefault="00282D4D">
      <w:r>
        <w:separator/>
      </w:r>
    </w:p>
  </w:endnote>
  <w:endnote w:type="continuationSeparator" w:id="0">
    <w:p w:rsidR="00282D4D" w:rsidRDefault="002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4D" w:rsidRDefault="00A64C99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055" cy="157480"/>
              <wp:effectExtent l="635" t="1270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D4D" w:rsidRDefault="00282D4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64C9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65pt;height:12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" stroked="f">
              <v:textbox inset="0,0,0,0">
                <w:txbxContent>
                  <w:p w:rsidR="00282D4D" w:rsidRDefault="00282D4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64C9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4D" w:rsidRDefault="00282D4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4D" w:rsidRDefault="00282D4D">
      <w:r>
        <w:separator/>
      </w:r>
    </w:p>
  </w:footnote>
  <w:footnote w:type="continuationSeparator" w:id="0">
    <w:p w:rsidR="00282D4D" w:rsidRDefault="0028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CF"/>
    <w:rsid w:val="00282D4D"/>
    <w:rsid w:val="00625A7C"/>
    <w:rsid w:val="00A64C99"/>
    <w:rsid w:val="00D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70FA216-1D48-4180-817A-9EC735CC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MUHlinsko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dc:description/>
  <cp:lastModifiedBy>Mgr. Nikola Ondráčková</cp:lastModifiedBy>
  <cp:revision>2</cp:revision>
  <cp:lastPrinted>2017-02-21T10:05:00Z</cp:lastPrinted>
  <dcterms:created xsi:type="dcterms:W3CDTF">2024-12-19T09:08:00Z</dcterms:created>
  <dcterms:modified xsi:type="dcterms:W3CDTF">2024-12-19T09:08:00Z</dcterms:modified>
</cp:coreProperties>
</file>