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6BB8" w14:textId="4343AFC5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DB2666">
        <w:rPr>
          <w:caps/>
          <w:color w:val="000000"/>
          <w:sz w:val="40"/>
          <w:szCs w:val="40"/>
        </w:rPr>
        <w:t>M A R K V A R T I C E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6EC69C92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DB2666">
        <w:rPr>
          <w:b/>
          <w:sz w:val="32"/>
        </w:rPr>
        <w:t>MARKVARTICE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51243D52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DB2666">
        <w:rPr>
          <w:i/>
        </w:rPr>
        <w:t>Markvartice</w:t>
      </w:r>
      <w:r w:rsidRPr="00454780">
        <w:rPr>
          <w:i/>
        </w:rPr>
        <w:t xml:space="preserve"> se na svém zasedání dne </w:t>
      </w:r>
      <w:r w:rsidR="00636355" w:rsidRPr="00454780">
        <w:rPr>
          <w:i/>
        </w:rPr>
        <w:t>___________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6E6AA2C6" w14:textId="56CEC3B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1690D7B4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DB2666">
        <w:t>2016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DB2666">
        <w:t>u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DB2666">
        <w:t>17. března 2016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4E8562DC" w14:textId="22EAC137" w:rsidR="006D7B35" w:rsidRDefault="00657771" w:rsidP="00071B86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6C89E827" w14:textId="2E8218D9" w:rsidR="00956336" w:rsidRDefault="00956336" w:rsidP="00956336">
      <w:pPr>
        <w:tabs>
          <w:tab w:val="center" w:pos="2268"/>
          <w:tab w:val="center" w:pos="6804"/>
        </w:tabs>
      </w:pPr>
    </w:p>
    <w:p w14:paraId="4FFFFF25" w14:textId="77777777" w:rsidR="00071B86" w:rsidRPr="00301952" w:rsidRDefault="00071B8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6336" w:rsidRPr="00BA0477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BA0477" w:rsidRDefault="00956336" w:rsidP="005A1ADF">
            <w:pPr>
              <w:jc w:val="center"/>
            </w:pPr>
            <w:r w:rsidRPr="00BA0477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BA0477" w:rsidRDefault="00956336" w:rsidP="005A1ADF">
            <w:pPr>
              <w:jc w:val="center"/>
            </w:pPr>
            <w:r w:rsidRPr="00BA0477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7AA62407" w:rsidR="00956336" w:rsidRPr="00BA0477" w:rsidRDefault="00BA0477" w:rsidP="005A1ADF">
            <w:pPr>
              <w:jc w:val="center"/>
            </w:pPr>
            <w:r w:rsidRPr="00BA0477">
              <w:t>Ing. Libor Kunte</w:t>
            </w:r>
            <w:r w:rsidR="00956336" w:rsidRPr="00BA0477">
              <w:t xml:space="preserve"> v. r.</w:t>
            </w:r>
          </w:p>
          <w:p w14:paraId="11E407E6" w14:textId="77777777" w:rsidR="00956336" w:rsidRPr="00BA0477" w:rsidRDefault="00956336" w:rsidP="005A1ADF">
            <w:pPr>
              <w:jc w:val="center"/>
            </w:pPr>
            <w:r w:rsidRPr="00BA0477">
              <w:t>místostarosta</w:t>
            </w:r>
          </w:p>
        </w:tc>
        <w:tc>
          <w:tcPr>
            <w:tcW w:w="4605" w:type="dxa"/>
          </w:tcPr>
          <w:p w14:paraId="740FB7FA" w14:textId="6559047F" w:rsidR="00956336" w:rsidRPr="00BA0477" w:rsidRDefault="00BA0477" w:rsidP="005A1ADF">
            <w:pPr>
              <w:jc w:val="center"/>
            </w:pPr>
            <w:r w:rsidRPr="00BA0477">
              <w:t>Tomáš Renka</w:t>
            </w:r>
            <w:r w:rsidR="00956336" w:rsidRPr="00BA0477">
              <w:t xml:space="preserve"> v. r.</w:t>
            </w:r>
          </w:p>
          <w:p w14:paraId="1A11DF38" w14:textId="77777777" w:rsidR="00956336" w:rsidRPr="00814C64" w:rsidRDefault="00956336" w:rsidP="005A1ADF">
            <w:pPr>
              <w:jc w:val="center"/>
            </w:pPr>
            <w:r w:rsidRPr="00BA0477">
              <w:t>starosta</w:t>
            </w:r>
          </w:p>
        </w:tc>
      </w:tr>
    </w:tbl>
    <w:p w14:paraId="1F0A2F08" w14:textId="77777777" w:rsidR="00956336" w:rsidRPr="00071B86" w:rsidRDefault="00956336" w:rsidP="00071B86">
      <w:pPr>
        <w:rPr>
          <w:sz w:val="2"/>
          <w:szCs w:val="2"/>
        </w:rPr>
      </w:pPr>
    </w:p>
    <w:sectPr w:rsidR="00956336" w:rsidRPr="00071B86" w:rsidSect="00071B86">
      <w:type w:val="continuous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1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2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1B86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37013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0477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2666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Pech Martin, Mgr.</cp:lastModifiedBy>
  <cp:revision>5</cp:revision>
  <cp:lastPrinted>2016-11-11T11:32:00Z</cp:lastPrinted>
  <dcterms:created xsi:type="dcterms:W3CDTF">2024-07-16T10:09:00Z</dcterms:created>
  <dcterms:modified xsi:type="dcterms:W3CDTF">2024-07-16T11:28:00Z</dcterms:modified>
</cp:coreProperties>
</file>