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1D9A2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99F4797" wp14:editId="1E8A656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SVS/2022/019322-S</w:t>
              </w:r>
            </w:sdtContent>
          </w:sdt>
        </w:sdtContent>
      </w:sdt>
    </w:p>
    <w:p w14:paraId="1DD70C9F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E0BF166" w14:textId="77777777" w:rsidR="00616664" w:rsidRPr="00C15F8F" w:rsidRDefault="00616664" w:rsidP="00D00C91">
      <w:pPr>
        <w:keepNext/>
        <w:keepLines/>
        <w:tabs>
          <w:tab w:val="left" w:pos="709"/>
          <w:tab w:val="left" w:pos="5387"/>
        </w:tabs>
        <w:spacing w:before="48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9207E22" w14:textId="10FF899C" w:rsidR="00EC1A16" w:rsidRPr="007E1D2D" w:rsidRDefault="00EC1A16" w:rsidP="00FE76DC">
      <w:pPr>
        <w:spacing w:after="120"/>
        <w:ind w:firstLine="708"/>
        <w:jc w:val="both"/>
        <w:rPr>
          <w:rFonts w:ascii="Arial" w:eastAsia="Times New Roman" w:hAnsi="Arial" w:cs="Times New Roman"/>
          <w:b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>Krajská veterinární správa Státní veterinární správy pro Středočeský kraj jako místně a věcně příslušný správní orgán podle § 49 odst. 1 písm. c) zákona č. 166/1999 Sb., o veterinární péči a o změně některých souvisejících zákonů (veterinární zákon), ve znění pozdějších předpisů, v souladu s nařízením Evropského parlamentu a Rady (EU) 2016/429 ze dne  9.března 2016 o nákazách zvířat a o změně a zrušení některých aktů v oblasti zdraví zvířat („právní rámec pro zdraví zvířat“), v</w:t>
      </w:r>
      <w:r w:rsidR="00C9298B">
        <w:rPr>
          <w:rFonts w:ascii="Arial" w:eastAsia="Times New Roman" w:hAnsi="Arial" w:cs="Times New Roman"/>
          <w:szCs w:val="24"/>
          <w:lang w:eastAsia="cs-CZ"/>
        </w:rPr>
        <w:t> </w:t>
      </w:r>
      <w:r w:rsidRPr="007E1D2D">
        <w:rPr>
          <w:rFonts w:ascii="Arial" w:eastAsia="Times New Roman" w:hAnsi="Arial" w:cs="Times New Roman"/>
          <w:szCs w:val="24"/>
          <w:lang w:eastAsia="cs-CZ"/>
        </w:rPr>
        <w:t>znění</w:t>
      </w:r>
      <w:r w:rsidR="00C9298B">
        <w:rPr>
          <w:rFonts w:ascii="Arial" w:eastAsia="Times New Roman" w:hAnsi="Arial" w:cs="Times New Roman"/>
          <w:szCs w:val="24"/>
          <w:lang w:eastAsia="cs-CZ"/>
        </w:rPr>
        <w:t xml:space="preserve"> pozdějších předpisů</w:t>
      </w:r>
      <w:r w:rsidRPr="007E1D2D">
        <w:rPr>
          <w:rFonts w:ascii="Arial" w:eastAsia="Times New Roman" w:hAnsi="Arial" w:cs="Times New Roman"/>
          <w:szCs w:val="24"/>
          <w:lang w:eastAsia="cs-CZ"/>
        </w:rPr>
        <w:t>, nařízením Komise v přenesené pravomoci (EU) 2020/687 ze dne 17.prosince 2019, kterým se doplňuje nařízení Evropského parlamentu a Rady (EU) 2016/429, pokud jde o pravidla pro prevenci a tlumení určitých nákaz uvedených na seznamu, a</w:t>
      </w:r>
      <w:r>
        <w:rPr>
          <w:rFonts w:ascii="Arial" w:eastAsia="Times New Roman" w:hAnsi="Arial" w:cs="Times New Roman"/>
          <w:szCs w:val="24"/>
          <w:lang w:eastAsia="cs-CZ"/>
        </w:rPr>
        <w:t xml:space="preserve"> v souladu s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 ustanovením § 54 odst. 2 písm. a) a c) a odst. 3 </w:t>
      </w:r>
      <w:r>
        <w:rPr>
          <w:rFonts w:ascii="Arial" w:eastAsia="Times New Roman" w:hAnsi="Arial" w:cs="Times New Roman"/>
          <w:szCs w:val="24"/>
          <w:lang w:eastAsia="cs-CZ"/>
        </w:rPr>
        <w:t>a</w:t>
      </w:r>
      <w:r w:rsidRPr="00C15F8F">
        <w:rPr>
          <w:rFonts w:ascii="Arial" w:eastAsia="Calibri" w:hAnsi="Arial" w:cs="Times New Roman"/>
        </w:rPr>
        <w:t xml:space="preserve"> § 75a odst. 1 a 2 veterinárního zákona</w:t>
      </w:r>
      <w:r w:rsidRPr="007E1D2D">
        <w:rPr>
          <w:rFonts w:ascii="Arial" w:eastAsia="Times New Roman" w:hAnsi="Arial" w:cs="Times New Roman"/>
          <w:szCs w:val="24"/>
          <w:lang w:eastAsia="cs-CZ"/>
        </w:rPr>
        <w:t xml:space="preserve"> </w:t>
      </w:r>
      <w:r w:rsidRPr="007E1D2D">
        <w:rPr>
          <w:rFonts w:ascii="Arial" w:eastAsia="Times New Roman" w:hAnsi="Arial" w:cs="Times New Roman"/>
          <w:b/>
          <w:szCs w:val="24"/>
          <w:lang w:eastAsia="cs-CZ"/>
        </w:rPr>
        <w:t xml:space="preserve">rozhodla o </w:t>
      </w:r>
    </w:p>
    <w:p w14:paraId="38641952" w14:textId="77777777" w:rsidR="00C9298B" w:rsidRDefault="00EC1A16" w:rsidP="00C9298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b/>
          <w:szCs w:val="24"/>
          <w:lang w:eastAsia="cs-CZ"/>
        </w:rPr>
        <w:t xml:space="preserve">ukončení </w:t>
      </w:r>
      <w:r w:rsidRPr="00C9298B">
        <w:rPr>
          <w:rFonts w:ascii="Arial" w:eastAsia="Times New Roman" w:hAnsi="Arial" w:cs="Times New Roman"/>
          <w:b/>
          <w:szCs w:val="24"/>
          <w:lang w:eastAsia="cs-CZ"/>
        </w:rPr>
        <w:t xml:space="preserve">mimořádných veterinárních opatření </w:t>
      </w:r>
    </w:p>
    <w:p w14:paraId="4D73CD84" w14:textId="06A6A1F5" w:rsidR="00EC1A16" w:rsidRPr="007E1D2D" w:rsidRDefault="00EC1A16" w:rsidP="00C9298B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>nařízených Státní ve</w:t>
      </w:r>
      <w:r w:rsidR="00C9298B">
        <w:rPr>
          <w:rFonts w:ascii="Arial" w:eastAsia="Times New Roman" w:hAnsi="Arial" w:cs="Times New Roman"/>
          <w:szCs w:val="24"/>
          <w:lang w:eastAsia="cs-CZ"/>
        </w:rPr>
        <w:t xml:space="preserve">terinární správou </w:t>
      </w:r>
      <w:r w:rsidRPr="007E1D2D">
        <w:rPr>
          <w:rFonts w:ascii="Arial" w:eastAsia="Times New Roman" w:hAnsi="Arial" w:cs="Times New Roman"/>
          <w:szCs w:val="24"/>
          <w:lang w:eastAsia="cs-CZ"/>
        </w:rPr>
        <w:t>č.j. SVS/2022/003454-S ze dne 6. 1. 2022 v souvislosti s výskytem nebezpečné nákazy vysoce patogenní aviární influenzy v katastrálním území Hajany u Blatné [636533] v Jihočeském kraji.</w:t>
      </w:r>
    </w:p>
    <w:p w14:paraId="0C8E8A1E" w14:textId="77777777" w:rsidR="00616664" w:rsidRPr="00C15F8F" w:rsidRDefault="00616664" w:rsidP="00C9298B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240" w:after="12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B0ACD93" w14:textId="77777777" w:rsidR="007E1D2D" w:rsidRPr="007E1D2D" w:rsidRDefault="007E1D2D" w:rsidP="007E1D2D">
      <w:pPr>
        <w:numPr>
          <w:ilvl w:val="0"/>
          <w:numId w:val="7"/>
        </w:numPr>
        <w:spacing w:after="120" w:line="249" w:lineRule="auto"/>
        <w:ind w:left="426" w:right="42" w:hanging="426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 xml:space="preserve">Vzhledem k tomu, že v uzavřeném pásmu byly splněny všechny povinnosti vyplývající z Nařízení č.j.: SVS/2022/003454-S ze dne 6. 1. 2022  a v pozorovací době 30 dní od provedení předběžné dezinfekce v ohnisku nebyl prokázán další případ výskytu aviární influenzy, pominuly okolnosti, které si nařízení výše uvedených mimořádných veterinárních opatření vyžádaly, bylo rozhodnuto tak, jak je shora uvedeno.  </w:t>
      </w:r>
    </w:p>
    <w:p w14:paraId="71C26B69" w14:textId="3418519C" w:rsidR="00EC1A16" w:rsidRPr="00C9298B" w:rsidRDefault="007E1D2D" w:rsidP="00EC1A16">
      <w:pPr>
        <w:numPr>
          <w:ilvl w:val="0"/>
          <w:numId w:val="7"/>
        </w:numPr>
        <w:spacing w:after="120" w:line="249" w:lineRule="auto"/>
        <w:ind w:left="426" w:right="42" w:hanging="426"/>
        <w:jc w:val="both"/>
        <w:rPr>
          <w:rFonts w:ascii="Arial" w:eastAsia="Times New Roman" w:hAnsi="Arial" w:cs="Times New Roman"/>
          <w:szCs w:val="24"/>
          <w:lang w:eastAsia="cs-CZ"/>
        </w:rPr>
      </w:pPr>
      <w:r w:rsidRPr="007E1D2D">
        <w:rPr>
          <w:rFonts w:ascii="Arial" w:eastAsia="Times New Roman" w:hAnsi="Arial" w:cs="Times New Roman"/>
          <w:szCs w:val="24"/>
          <w:lang w:eastAsia="cs-CZ"/>
        </w:rPr>
        <w:t xml:space="preserve">Dnem účinnosti tohoto nařízení se zrušuje nařízení Státní veterinární správy </w:t>
      </w:r>
      <w:r w:rsidRPr="007E1D2D">
        <w:rPr>
          <w:rFonts w:ascii="Arial" w:eastAsia="Times New Roman" w:hAnsi="Arial" w:cs="Times New Roman"/>
          <w:szCs w:val="24"/>
          <w:lang w:eastAsia="cs-CZ"/>
        </w:rPr>
        <w:br/>
        <w:t xml:space="preserve">č. j. SVS/2022/003454-S ze dne 6. 1. 2022. </w:t>
      </w:r>
    </w:p>
    <w:p w14:paraId="0CF23ACD" w14:textId="0577FC1B" w:rsidR="00EC1A16" w:rsidRPr="00C9298B" w:rsidRDefault="00EC1A16" w:rsidP="00C9298B">
      <w:pPr>
        <w:spacing w:before="360" w:after="0" w:line="249" w:lineRule="auto"/>
        <w:ind w:right="42"/>
        <w:jc w:val="center"/>
        <w:rPr>
          <w:rFonts w:ascii="Arial" w:eastAsia="Times New Roman" w:hAnsi="Arial" w:cs="Times New Roman"/>
          <w:b/>
          <w:szCs w:val="24"/>
          <w:lang w:eastAsia="cs-CZ"/>
        </w:rPr>
      </w:pPr>
      <w:r w:rsidRPr="00C9298B">
        <w:rPr>
          <w:rFonts w:ascii="Arial" w:eastAsia="Times New Roman" w:hAnsi="Arial" w:cs="Times New Roman"/>
          <w:b/>
          <w:szCs w:val="24"/>
          <w:lang w:eastAsia="cs-CZ"/>
        </w:rPr>
        <w:t>Čl. 2</w:t>
      </w:r>
    </w:p>
    <w:p w14:paraId="062A6761" w14:textId="77777777" w:rsidR="00616664" w:rsidRPr="00C15F8F" w:rsidRDefault="00616664" w:rsidP="00C9298B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D704778" w14:textId="2A45E2DF" w:rsidR="00616664" w:rsidRPr="00C9298B" w:rsidRDefault="00616664" w:rsidP="00FE76DC">
      <w:pPr>
        <w:pStyle w:val="Odstavecseseznamem"/>
        <w:numPr>
          <w:ilvl w:val="3"/>
          <w:numId w:val="3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>Toto nařízení nabývá podle § 2 odst. 1 a § 4 odst. 1 a 2 zákona č. 35/2021 Sb.,</w:t>
      </w:r>
      <w:r w:rsidR="00FE76DC">
        <w:rPr>
          <w:rFonts w:ascii="Arial" w:eastAsia="Calibri" w:hAnsi="Arial" w:cs="Arial"/>
        </w:rPr>
        <w:t xml:space="preserve"> o</w:t>
      </w:r>
      <w:r w:rsidR="00C9298B">
        <w:rPr>
          <w:rFonts w:ascii="Arial" w:eastAsia="Calibri" w:hAnsi="Arial" w:cs="Arial"/>
        </w:rPr>
        <w:t xml:space="preserve"> </w:t>
      </w:r>
      <w:r w:rsidRPr="00C9298B">
        <w:rPr>
          <w:rFonts w:ascii="Arial" w:eastAsia="Calibri" w:hAnsi="Arial" w:cs="Arial"/>
        </w:rPr>
        <w:t xml:space="preserve">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="007E1D2D" w:rsidRPr="00C9298B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C9298B">
        <w:rPr>
          <w:rFonts w:ascii="Arial" w:eastAsia="Calibri" w:hAnsi="Arial" w:cs="Arial"/>
        </w:rPr>
        <w:t>. D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C9298B">
        <w:rPr>
          <w:rFonts w:ascii="Arial" w:eastAsia="Calibri" w:hAnsi="Arial" w:cs="Arial"/>
        </w:rPr>
        <w:t xml:space="preserve"> je 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C9298B">
        <w:rPr>
          <w:rFonts w:ascii="Arial" w:eastAsia="Calibri" w:hAnsi="Arial" w:cs="Arial"/>
        </w:rPr>
        <w:t xml:space="preserve"> </w:t>
      </w:r>
    </w:p>
    <w:p w14:paraId="5772B723" w14:textId="75F10223" w:rsidR="00616664" w:rsidRPr="00C9298B" w:rsidRDefault="00616664" w:rsidP="00FE76DC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C9298B">
        <w:rPr>
          <w:rFonts w:ascii="Arial" w:eastAsia="Calibri" w:hAnsi="Arial" w:cs="Arial"/>
        </w:rPr>
        <w:t xml:space="preserve">Toto nařízení se vyvěšuje na úředních deskách krajského úřadu a všech obecních úřadů, jejichž území se týká, na dobu nejméně 15 dnů a </w:t>
      </w:r>
      <w:r w:rsidRPr="00C929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9298B">
        <w:rPr>
          <w:rFonts w:ascii="Arial" w:eastAsia="Calibri" w:hAnsi="Arial" w:cs="Arial"/>
        </w:rPr>
        <w:t xml:space="preserve"> </w:t>
      </w:r>
    </w:p>
    <w:p w14:paraId="66E88CF5" w14:textId="411CE03B" w:rsidR="00616664" w:rsidRPr="00C9298B" w:rsidRDefault="00616664" w:rsidP="00FE76DC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425" w:hanging="425"/>
        <w:contextualSpacing w:val="0"/>
        <w:jc w:val="both"/>
        <w:rPr>
          <w:rFonts w:ascii="Arial" w:eastAsia="Calibri" w:hAnsi="Arial" w:cs="Arial"/>
        </w:rPr>
      </w:pPr>
      <w:r w:rsidRPr="00C9298B">
        <w:rPr>
          <w:rFonts w:ascii="Arial" w:eastAsia="Calibri" w:hAnsi="Arial" w:cs="Arial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7081C007" w14:textId="7EE0DE33" w:rsidR="00312826" w:rsidRPr="00FE76DC" w:rsidRDefault="00616664" w:rsidP="00FE76DC">
      <w:pPr>
        <w:tabs>
          <w:tab w:val="left" w:pos="709"/>
          <w:tab w:val="left" w:pos="5387"/>
        </w:tabs>
        <w:spacing w:before="360" w:after="36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 w:rsidR="00FE76DC">
            <w:rPr>
              <w:rFonts w:ascii="Arial" w:eastAsia="Calibri" w:hAnsi="Arial" w:cs="Arial"/>
            </w:rPr>
            <w:t>Benešově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Content>
          <w:r w:rsidR="00FE76DC">
            <w:rPr>
              <w:rFonts w:ascii="Arial" w:eastAsia="Calibri" w:hAnsi="Arial" w:cs="Times New Roman"/>
              <w:color w:val="000000" w:themeColor="text1"/>
            </w:rPr>
            <w:t>07.02.2022</w:t>
          </w:r>
        </w:sdtContent>
      </w:sdt>
    </w:p>
    <w:p w14:paraId="3CB0B6F1" w14:textId="77777777" w:rsidR="00312826" w:rsidRPr="00FE76DC" w:rsidRDefault="00DE119F" w:rsidP="00C57655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FE76DC">
            <w:rPr>
              <w:rFonts w:ascii="Arial" w:eastAsia="Calibri" w:hAnsi="Arial" w:cs="Times New Roman"/>
              <w:bCs/>
              <w:szCs w:val="20"/>
            </w:rPr>
            <w:t>MVDr. Otto Vraný</w:t>
          </w:r>
        </w:sdtContent>
      </w:sdt>
    </w:p>
    <w:p w14:paraId="44294FEB" w14:textId="77777777" w:rsidR="00C57655" w:rsidRDefault="00C57655" w:rsidP="00C57655">
      <w:pPr>
        <w:spacing w:after="0"/>
        <w:ind w:left="4395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ř</w:t>
      </w:r>
      <w:r w:rsidR="00661489" w:rsidRPr="00FE76DC">
        <w:rPr>
          <w:rFonts w:ascii="Arial" w:hAnsi="Arial" w:cs="Arial"/>
          <w:color w:val="000000"/>
          <w:szCs w:val="20"/>
        </w:rPr>
        <w:t>editel</w:t>
      </w:r>
      <w:r>
        <w:rPr>
          <w:rFonts w:ascii="Arial" w:hAnsi="Arial" w:cs="Arial"/>
          <w:color w:val="000000"/>
          <w:szCs w:val="20"/>
        </w:rPr>
        <w:t xml:space="preserve"> </w:t>
      </w:r>
      <w:r w:rsidRPr="00C57655">
        <w:rPr>
          <w:rFonts w:ascii="Arial" w:hAnsi="Arial" w:cs="Arial"/>
          <w:color w:val="000000"/>
          <w:szCs w:val="20"/>
        </w:rPr>
        <w:t xml:space="preserve">Krajské veterinární správy </w:t>
      </w:r>
    </w:p>
    <w:p w14:paraId="626712B1" w14:textId="7B389140" w:rsidR="00FB3CB7" w:rsidRPr="00FE76DC" w:rsidRDefault="00C57655" w:rsidP="00C57655">
      <w:pPr>
        <w:spacing w:after="0"/>
        <w:ind w:left="4395"/>
        <w:jc w:val="center"/>
        <w:rPr>
          <w:rFonts w:ascii="Arial" w:hAnsi="Arial" w:cs="Arial"/>
          <w:color w:val="000000"/>
          <w:szCs w:val="20"/>
        </w:rPr>
      </w:pPr>
      <w:bookmarkStart w:id="0" w:name="_GoBack"/>
      <w:bookmarkEnd w:id="0"/>
      <w:r w:rsidRPr="00C57655">
        <w:rPr>
          <w:rFonts w:ascii="Arial" w:hAnsi="Arial" w:cs="Arial"/>
          <w:color w:val="000000"/>
          <w:szCs w:val="20"/>
        </w:rPr>
        <w:t>Státní veterinární správy pro Středočeský kraj</w:t>
      </w:r>
    </w:p>
    <w:p w14:paraId="2744F3A8" w14:textId="77777777" w:rsidR="00312826" w:rsidRPr="00FE76DC" w:rsidRDefault="00312826" w:rsidP="00C57655">
      <w:pPr>
        <w:spacing w:after="0"/>
        <w:ind w:left="4395"/>
        <w:jc w:val="center"/>
        <w:rPr>
          <w:rFonts w:ascii="Arial" w:hAnsi="Arial" w:cs="Arial"/>
          <w:color w:val="000000"/>
          <w:szCs w:val="20"/>
        </w:rPr>
      </w:pPr>
      <w:r w:rsidRPr="00FE76DC">
        <w:rPr>
          <w:rFonts w:ascii="Arial" w:eastAsia="Calibri" w:hAnsi="Arial" w:cs="Times New Roman"/>
          <w:bCs/>
          <w:szCs w:val="20"/>
        </w:rPr>
        <w:t>podepsáno elektronicky</w:t>
      </w:r>
    </w:p>
    <w:p w14:paraId="28CCD96C" w14:textId="77777777" w:rsidR="00FE76DC" w:rsidRDefault="00FE76DC" w:rsidP="00FE76D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5977F41" w14:textId="43145383" w:rsidR="00616664" w:rsidRPr="00FE76DC" w:rsidRDefault="00616664" w:rsidP="00FE76DC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FE76DC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7A0D2005" w14:textId="77777777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 xml:space="preserve">Krajský úřad Středočeského kraje, Zborovská 81, 150 00 Praha 5-Smíchov </w:t>
      </w:r>
    </w:p>
    <w:p w14:paraId="64924F62" w14:textId="77777777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 xml:space="preserve">Hasičský záchranný sbor Středočeského kraje, Jana Palacha 1970, 272 01 Kladno  </w:t>
      </w:r>
    </w:p>
    <w:p w14:paraId="5BFC4E46" w14:textId="77777777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 xml:space="preserve">Krajské ředitelství policie Středočeského kraje, Na Baních 1535 156 00 Praha 5 </w:t>
      </w:r>
    </w:p>
    <w:p w14:paraId="7953ADF1" w14:textId="18016F16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 xml:space="preserve">Krajská hygienická stanice Středočeského kraje se sídlem v Praze, Dittrichova 17,128 01 </w:t>
      </w:r>
      <w:r w:rsidRPr="00D51E2E">
        <w:rPr>
          <w:rFonts w:ascii="Arial" w:hAnsi="Arial" w:cs="Arial"/>
          <w:lang w:eastAsia="cs-CZ"/>
        </w:rPr>
        <w:t>P</w:t>
      </w:r>
      <w:r w:rsidRPr="00D51E2E">
        <w:rPr>
          <w:rFonts w:ascii="Arial" w:hAnsi="Arial" w:cs="Arial"/>
        </w:rPr>
        <w:t>raha</w:t>
      </w:r>
    </w:p>
    <w:p w14:paraId="1A44E094" w14:textId="77777777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>Obec s rozšířenou působností Příbram</w:t>
      </w:r>
    </w:p>
    <w:p w14:paraId="5F684224" w14:textId="77777777" w:rsidR="00FE76DC" w:rsidRPr="00FE76DC" w:rsidRDefault="00FE76DC" w:rsidP="00FE76DC">
      <w:pPr>
        <w:spacing w:before="120" w:after="0" w:line="240" w:lineRule="auto"/>
        <w:rPr>
          <w:rFonts w:ascii="Arial" w:eastAsia="Times New Roman" w:hAnsi="Arial" w:cs="Arial"/>
          <w:lang w:eastAsia="cs-CZ"/>
        </w:rPr>
      </w:pPr>
      <w:r w:rsidRPr="00FE76DC">
        <w:rPr>
          <w:rFonts w:ascii="Arial" w:eastAsia="Times New Roman" w:hAnsi="Arial" w:cs="Arial"/>
          <w:lang w:eastAsia="cs-CZ"/>
        </w:rPr>
        <w:t>Obecní úřady obcí: Hudčice, Hvožďany, Koupě</w:t>
      </w:r>
    </w:p>
    <w:p w14:paraId="63CA7960" w14:textId="77777777" w:rsidR="00661489" w:rsidRPr="00FE76DC" w:rsidRDefault="00661489"/>
    <w:sectPr w:rsidR="00661489" w:rsidRPr="00FE76DC" w:rsidSect="00FE76DC">
      <w:pgSz w:w="11906" w:h="16838"/>
      <w:pgMar w:top="1247" w:right="1247" w:bottom="1135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59B6"/>
    <w:multiLevelType w:val="hybridMultilevel"/>
    <w:tmpl w:val="C1CC4606"/>
    <w:lvl w:ilvl="0" w:tplc="1318D014">
      <w:start w:val="1"/>
      <w:numFmt w:val="decimal"/>
      <w:lvlText w:val="(%1)"/>
      <w:lvlJc w:val="left"/>
      <w:pPr>
        <w:ind w:left="1713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10E14D1"/>
    <w:multiLevelType w:val="hybridMultilevel"/>
    <w:tmpl w:val="7B4EC3B4"/>
    <w:lvl w:ilvl="0" w:tplc="50B21728">
      <w:start w:val="1"/>
      <w:numFmt w:val="decimal"/>
      <w:lvlText w:val="(%1)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A5EE221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9F82AF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EDD2365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8C05FB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868205A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1FE4F80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3B38562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ED03C7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5B714BD1"/>
    <w:multiLevelType w:val="hybridMultilevel"/>
    <w:tmpl w:val="B5A4E5F6"/>
    <w:lvl w:ilvl="0" w:tplc="79B4574E">
      <w:start w:val="3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95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616664"/>
    <w:rsid w:val="00661489"/>
    <w:rsid w:val="00740498"/>
    <w:rsid w:val="007E1D2D"/>
    <w:rsid w:val="009066E7"/>
    <w:rsid w:val="00C57655"/>
    <w:rsid w:val="00C9298B"/>
    <w:rsid w:val="00D00C91"/>
    <w:rsid w:val="00D51E2E"/>
    <w:rsid w:val="00DC4873"/>
    <w:rsid w:val="00DE119F"/>
    <w:rsid w:val="00EC1A16"/>
    <w:rsid w:val="00FB3CB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00C9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D42F1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0D42F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9B14A5EAFA0D4B1B862A8F5F6CA1F39F">
    <w:name w:val="9B14A5EAFA0D4B1B862A8F5F6CA1F39F"/>
    <w:rsid w:val="000D42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10</cp:revision>
  <dcterms:created xsi:type="dcterms:W3CDTF">2022-01-27T08:47:00Z</dcterms:created>
  <dcterms:modified xsi:type="dcterms:W3CDTF">2022-02-06T20:57:00Z</dcterms:modified>
</cp:coreProperties>
</file>