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93FC" w14:textId="77777777" w:rsidR="00E963F9" w:rsidRPr="00714D24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B4D2C" w:rsidRPr="00714D24">
        <w:rPr>
          <w:rFonts w:ascii="Arial" w:hAnsi="Arial" w:cs="Arial"/>
          <w:b/>
          <w:sz w:val="28"/>
          <w:szCs w:val="28"/>
        </w:rPr>
        <w:t>Horní Smrčné</w:t>
      </w:r>
    </w:p>
    <w:p w14:paraId="56A0147F" w14:textId="77777777" w:rsidR="00E963F9" w:rsidRPr="00714D24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D24">
        <w:rPr>
          <w:rFonts w:ascii="Arial" w:hAnsi="Arial" w:cs="Arial"/>
          <w:b/>
          <w:sz w:val="28"/>
          <w:szCs w:val="28"/>
        </w:rPr>
        <w:t xml:space="preserve">Zastupitelstvo obce </w:t>
      </w:r>
      <w:r w:rsidR="008B4D2C" w:rsidRPr="00714D24">
        <w:rPr>
          <w:rFonts w:ascii="Arial" w:hAnsi="Arial" w:cs="Arial"/>
          <w:b/>
          <w:sz w:val="28"/>
          <w:szCs w:val="28"/>
        </w:rPr>
        <w:t>Horní Smrčné</w:t>
      </w:r>
    </w:p>
    <w:p w14:paraId="563F1FD5" w14:textId="77777777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8B4D2C">
        <w:rPr>
          <w:rFonts w:ascii="Arial" w:hAnsi="Arial" w:cs="Arial"/>
          <w:b/>
        </w:rPr>
        <w:t xml:space="preserve"> Horní Smrčné</w:t>
      </w:r>
      <w:r w:rsidRPr="00706856">
        <w:rPr>
          <w:rFonts w:ascii="Arial" w:hAnsi="Arial" w:cs="Arial"/>
          <w:b/>
        </w:rPr>
        <w:t>,</w:t>
      </w:r>
    </w:p>
    <w:p w14:paraId="4EB50419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6B0522" w14:textId="77777777" w:rsidR="00EB68DE" w:rsidRPr="00EB68DE" w:rsidRDefault="00EB68DE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1B098DB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EE4E98A" w14:textId="3960D0EE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="008B4D2C">
        <w:rPr>
          <w:rFonts w:ascii="Arial" w:hAnsi="Arial" w:cs="Arial"/>
          <w:sz w:val="22"/>
          <w:szCs w:val="22"/>
        </w:rPr>
        <w:t xml:space="preserve">Horní Smrčné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4230FA">
        <w:rPr>
          <w:rFonts w:ascii="Arial" w:hAnsi="Arial" w:cs="Arial"/>
          <w:sz w:val="22"/>
          <w:szCs w:val="22"/>
        </w:rPr>
        <w:t>22. 4. 2025</w:t>
      </w:r>
      <w:r w:rsidRPr="00EB68DE">
        <w:rPr>
          <w:rFonts w:ascii="Arial" w:hAnsi="Arial" w:cs="Arial"/>
          <w:sz w:val="22"/>
          <w:szCs w:val="22"/>
        </w:rPr>
        <w:t xml:space="preserve"> </w:t>
      </w:r>
      <w:r w:rsidR="004230FA">
        <w:rPr>
          <w:rFonts w:ascii="Arial" w:hAnsi="Arial" w:cs="Arial"/>
          <w:sz w:val="22"/>
          <w:szCs w:val="22"/>
        </w:rPr>
        <w:t xml:space="preserve">usnesením č. 5/2/2025 </w:t>
      </w:r>
      <w:r w:rsidRPr="00EB68DE">
        <w:rPr>
          <w:rFonts w:ascii="Arial" w:hAnsi="Arial" w:cs="Arial"/>
          <w:sz w:val="22"/>
          <w:szCs w:val="22"/>
        </w:rPr>
        <w:t xml:space="preserve">usneslo vydat na základě § 29 odst. 1 písm. o) bod 1 zákona č. 133/1985 Sb., </w:t>
      </w:r>
      <w:r w:rsidR="00BD5CAA">
        <w:rPr>
          <w:rFonts w:ascii="Arial" w:hAnsi="Arial" w:cs="Arial"/>
          <w:sz w:val="22"/>
          <w:szCs w:val="22"/>
        </w:rPr>
        <w:br/>
      </w:r>
      <w:r w:rsidRPr="00EB68DE">
        <w:rPr>
          <w:rFonts w:ascii="Arial" w:hAnsi="Arial" w:cs="Arial"/>
          <w:sz w:val="22"/>
          <w:szCs w:val="22"/>
        </w:rPr>
        <w:t xml:space="preserve">o požární ochraně, ve znění pozdějších předpisů (dále jen „zákon o požární ochraně“), </w:t>
      </w:r>
      <w:r w:rsidR="00BD5CAA">
        <w:rPr>
          <w:rFonts w:ascii="Arial" w:hAnsi="Arial" w:cs="Arial"/>
          <w:sz w:val="22"/>
          <w:szCs w:val="22"/>
        </w:rPr>
        <w:br/>
      </w:r>
      <w:r w:rsidRPr="00EB68DE">
        <w:rPr>
          <w:rFonts w:ascii="Arial" w:hAnsi="Arial" w:cs="Arial"/>
          <w:sz w:val="22"/>
          <w:szCs w:val="22"/>
        </w:rPr>
        <w:t>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EE04720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6D1550FE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5D10D3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F4FB62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45C9082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207DA7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F8152DF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1F5521BC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FFBF25B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F8D445C" w14:textId="77777777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8B4D2C">
        <w:rPr>
          <w:rFonts w:ascii="Arial" w:hAnsi="Arial" w:cs="Arial"/>
          <w:sz w:val="22"/>
          <w:szCs w:val="22"/>
        </w:rPr>
        <w:t>Horní Smrčné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8B4D2C">
        <w:rPr>
          <w:rFonts w:ascii="Arial" w:hAnsi="Arial" w:cs="Arial"/>
          <w:sz w:val="22"/>
          <w:szCs w:val="22"/>
        </w:rPr>
        <w:t xml:space="preserve">sboru dobrovolných hasičů </w:t>
      </w:r>
      <w:r w:rsidRPr="00EB68DE">
        <w:rPr>
          <w:rFonts w:ascii="Arial" w:hAnsi="Arial" w:cs="Arial"/>
          <w:sz w:val="22"/>
          <w:szCs w:val="22"/>
        </w:rPr>
        <w:t xml:space="preserve">zřízenou na základě smlouvy </w:t>
      </w:r>
      <w:r w:rsidR="008B4D2C">
        <w:rPr>
          <w:rFonts w:ascii="Arial" w:hAnsi="Arial" w:cs="Arial"/>
          <w:sz w:val="22"/>
          <w:szCs w:val="22"/>
        </w:rPr>
        <w:t>o zřízení společné jednotky požární ochrany</w:t>
      </w:r>
      <w:r w:rsidRPr="00EB68DE">
        <w:rPr>
          <w:rFonts w:ascii="Arial" w:hAnsi="Arial" w:cs="Arial"/>
          <w:sz w:val="22"/>
          <w:szCs w:val="22"/>
        </w:rPr>
        <w:t xml:space="preserve"> s</w:t>
      </w:r>
      <w:r w:rsidR="008B4D2C">
        <w:rPr>
          <w:rFonts w:ascii="Arial" w:hAnsi="Arial" w:cs="Arial"/>
          <w:sz w:val="22"/>
          <w:szCs w:val="22"/>
        </w:rPr>
        <w:t> městysem Kamenice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 xml:space="preserve">mi </w:t>
      </w:r>
      <w:r w:rsidR="00937FA4" w:rsidRPr="00714D24">
        <w:rPr>
          <w:rFonts w:ascii="Arial" w:hAnsi="Arial" w:cs="Arial"/>
          <w:color w:val="auto"/>
          <w:sz w:val="22"/>
          <w:szCs w:val="22"/>
        </w:rPr>
        <w:t xml:space="preserve">v příloze č. 1 této </w:t>
      </w:r>
      <w:r w:rsidR="00937FA4">
        <w:rPr>
          <w:rFonts w:ascii="Arial" w:hAnsi="Arial" w:cs="Arial"/>
          <w:sz w:val="22"/>
          <w:szCs w:val="22"/>
        </w:rPr>
        <w:t>vyhlášky.</w:t>
      </w:r>
    </w:p>
    <w:p w14:paraId="098432D9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9F75DE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379809F" w14:textId="5F97797C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</w:t>
      </w:r>
      <w:r w:rsidR="00F552C3">
        <w:rPr>
          <w:rFonts w:ascii="Arial" w:eastAsia="Times New Roman" w:hAnsi="Arial" w:cs="Arial"/>
          <w:color w:val="000000"/>
          <w:lang w:val="cs-CZ" w:eastAsia="cs-CZ"/>
        </w:rPr>
        <w:br/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3748055D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obce na úseku </w:t>
      </w:r>
      <w:r w:rsidR="007057EF" w:rsidRPr="006B7752">
        <w:rPr>
          <w:rFonts w:ascii="Arial" w:hAnsi="Arial" w:cs="Arial"/>
          <w:lang w:val="cs-CZ"/>
        </w:rPr>
        <w:t>požární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102A410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71678957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C0CB555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885163F" w14:textId="18B4787A" w:rsidR="007E2509" w:rsidRPr="00611EA3" w:rsidRDefault="00611EA3" w:rsidP="007E2509">
      <w:pPr>
        <w:pStyle w:val="Odstavecseseznamem"/>
        <w:ind w:left="567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611EA3">
        <w:rPr>
          <w:rFonts w:ascii="Arial" w:eastAsia="Times New Roman" w:hAnsi="Arial" w:cs="Arial"/>
          <w:color w:val="000000"/>
          <w:lang w:val="cs-CZ" w:eastAsia="cs-CZ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987E2BE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D12752F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8263D9A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E161942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0D3CA6C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685B10">
        <w:rPr>
          <w:rFonts w:ascii="Arial" w:hAnsi="Arial" w:cs="Arial"/>
          <w:color w:val="auto"/>
          <w:sz w:val="22"/>
          <w:szCs w:val="22"/>
        </w:rPr>
        <w:t>společnou jednotkou požární ochrany uvedenou v čl. 5 a dalšími je</w:t>
      </w:r>
      <w:r w:rsidRPr="00EB68DE">
        <w:rPr>
          <w:rFonts w:ascii="Arial" w:hAnsi="Arial" w:cs="Arial"/>
          <w:sz w:val="22"/>
          <w:szCs w:val="22"/>
        </w:rPr>
        <w:t>dnotkami uvedenými v příloze č. 1 vyhlášky.</w:t>
      </w:r>
    </w:p>
    <w:p w14:paraId="6A96E243" w14:textId="75BD887C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730DEA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0DE9A13A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6DAF207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</w:t>
      </w:r>
      <w:r w:rsidRPr="00740C49">
        <w:rPr>
          <w:rFonts w:ascii="Arial" w:hAnsi="Arial" w:cs="Arial"/>
          <w:color w:val="auto"/>
          <w:sz w:val="22"/>
          <w:szCs w:val="22"/>
        </w:rPr>
        <w:t>příloze č. 2 vyhlášky</w:t>
      </w:r>
      <w:r>
        <w:rPr>
          <w:rFonts w:ascii="Arial" w:hAnsi="Arial" w:cs="Arial"/>
          <w:sz w:val="22"/>
          <w:szCs w:val="22"/>
        </w:rPr>
        <w:t>.</w:t>
      </w:r>
    </w:p>
    <w:p w14:paraId="2883ED15" w14:textId="77777777" w:rsidR="00EB68DE" w:rsidRPr="00685B10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4A1EFF1" w14:textId="3A128A6A" w:rsidR="00EB68DE" w:rsidRPr="0064656B" w:rsidRDefault="00EB68DE" w:rsidP="00EB68DE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85B10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se při vyhlášení požárního poplachu dostaví ve stanoveném čase do </w:t>
      </w:r>
      <w:r w:rsidR="008524BB" w:rsidRPr="00685B10">
        <w:rPr>
          <w:rFonts w:ascii="Arial" w:hAnsi="Arial" w:cs="Arial"/>
          <w:color w:val="auto"/>
          <w:sz w:val="22"/>
          <w:szCs w:val="22"/>
        </w:rPr>
        <w:t>hasičské stanice</w:t>
      </w:r>
      <w:r w:rsidRPr="00685B10">
        <w:rPr>
          <w:rFonts w:ascii="Arial" w:hAnsi="Arial" w:cs="Arial"/>
          <w:color w:val="auto"/>
          <w:sz w:val="22"/>
          <w:szCs w:val="22"/>
        </w:rPr>
        <w:t xml:space="preserve"> </w:t>
      </w:r>
      <w:r w:rsidR="00E2316D" w:rsidRPr="00685B10">
        <w:rPr>
          <w:rFonts w:ascii="Arial" w:hAnsi="Arial" w:cs="Arial"/>
          <w:color w:val="auto"/>
          <w:sz w:val="22"/>
          <w:szCs w:val="22"/>
        </w:rPr>
        <w:t>JSDH Kamenice na adrese Kamenice č.</w:t>
      </w:r>
      <w:r w:rsidR="001165F4">
        <w:rPr>
          <w:rFonts w:ascii="Arial" w:hAnsi="Arial" w:cs="Arial"/>
          <w:color w:val="auto"/>
          <w:sz w:val="22"/>
          <w:szCs w:val="22"/>
        </w:rPr>
        <w:t xml:space="preserve"> </w:t>
      </w:r>
      <w:r w:rsidR="00E2316D" w:rsidRPr="00685B10">
        <w:rPr>
          <w:rFonts w:ascii="Arial" w:hAnsi="Arial" w:cs="Arial"/>
          <w:color w:val="auto"/>
          <w:sz w:val="22"/>
          <w:szCs w:val="22"/>
        </w:rPr>
        <w:t>p. 17</w:t>
      </w:r>
      <w:r w:rsidRPr="00685B10">
        <w:rPr>
          <w:rFonts w:ascii="Arial" w:hAnsi="Arial" w:cs="Arial"/>
          <w:color w:val="auto"/>
          <w:sz w:val="22"/>
          <w:szCs w:val="22"/>
        </w:rPr>
        <w:t xml:space="preserve">, anebo na jiné místo, stanovené velitelem </w:t>
      </w:r>
      <w:r w:rsidR="008524BB" w:rsidRPr="00685B10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685B10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685B10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685B10">
        <w:rPr>
          <w:rFonts w:ascii="Arial" w:hAnsi="Arial" w:cs="Arial"/>
          <w:color w:val="auto"/>
          <w:sz w:val="22"/>
          <w:szCs w:val="22"/>
        </w:rPr>
        <w:t>.</w:t>
      </w:r>
    </w:p>
    <w:p w14:paraId="637EDB2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AB1309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205F0E7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8F77CF9" w14:textId="634A8B4B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F552C3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09823900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3D165A0" w14:textId="4E04D587" w:rsidR="00EB68DE" w:rsidRPr="006236A6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</w:t>
      </w:r>
      <w:r w:rsidR="00F552C3">
        <w:rPr>
          <w:rFonts w:ascii="Arial" w:hAnsi="Arial" w:cs="Arial"/>
          <w:sz w:val="22"/>
          <w:szCs w:val="22"/>
        </w:rPr>
        <w:t>m</w:t>
      </w:r>
      <w:r w:rsidR="0064656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B68DE">
        <w:rPr>
          <w:rFonts w:ascii="Arial" w:hAnsi="Arial" w:cs="Arial"/>
          <w:sz w:val="22"/>
          <w:szCs w:val="22"/>
        </w:rPr>
        <w:t>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</w:t>
      </w:r>
      <w:r w:rsidR="003E454A" w:rsidRPr="006236A6">
        <w:rPr>
          <w:rFonts w:ascii="Arial" w:hAnsi="Arial" w:cs="Arial"/>
          <w:color w:val="auto"/>
          <w:sz w:val="22"/>
          <w:szCs w:val="22"/>
        </w:rPr>
        <w:t>v příloze č. 3 vyhlášky.</w:t>
      </w:r>
    </w:p>
    <w:p w14:paraId="7334A6E7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5F3EED1" w14:textId="77777777" w:rsidR="00EB68DE" w:rsidRPr="00417E18" w:rsidRDefault="00F974DF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17E18">
        <w:rPr>
          <w:rFonts w:ascii="Arial" w:hAnsi="Arial" w:cs="Arial"/>
          <w:color w:val="auto"/>
          <w:sz w:val="22"/>
          <w:szCs w:val="22"/>
        </w:rPr>
        <w:t>O</w:t>
      </w:r>
      <w:r w:rsidR="00EB68DE" w:rsidRPr="00417E18">
        <w:rPr>
          <w:rFonts w:ascii="Arial" w:hAnsi="Arial" w:cs="Arial"/>
          <w:color w:val="auto"/>
          <w:sz w:val="22"/>
          <w:szCs w:val="22"/>
        </w:rPr>
        <w:t>bec nad rámec nařízení kraje nestanovila další zdroje vody pro hašení požárů.</w:t>
      </w:r>
    </w:p>
    <w:p w14:paraId="1FB69827" w14:textId="7454E2B1" w:rsidR="00EB68DE" w:rsidRP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AF7C166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DC3267E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CF3BA92" w14:textId="77777777" w:rsidR="00611EA3" w:rsidRPr="00611EA3" w:rsidRDefault="004224B6" w:rsidP="0064656B">
      <w:pPr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Obec </w:t>
      </w:r>
      <w:r w:rsidR="00611EA3">
        <w:rPr>
          <w:rFonts w:ascii="Arial" w:hAnsi="Arial" w:cs="Arial"/>
        </w:rPr>
        <w:t>zřizuje ohlašovnu požárů v budově obecního úřadu označená tabulkou „Ohlašovna požáru“.</w:t>
      </w:r>
      <w:r>
        <w:rPr>
          <w:rFonts w:ascii="Arial" w:hAnsi="Arial" w:cs="Arial"/>
        </w:rPr>
        <w:t xml:space="preserve"> </w:t>
      </w:r>
    </w:p>
    <w:p w14:paraId="27EA8FBE" w14:textId="3AEE8F14" w:rsidR="005D3312" w:rsidRPr="0064656B" w:rsidRDefault="004224B6" w:rsidP="0064656B">
      <w:pPr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Nepřetržitě a bezplatně lze ohlásit požár nebo jinou mimořádnou událost na krajské operační a informační středisko Hasičského záchranného sboru Kraje Vysočina na tísňové telefonní číslo 150 nebo na evropské číslo tísňového volání 112. K ohlášení požáru může být použit každý mobilní telefon, dále soukromý nebo veřejný telefon napojený na veřejnou telefonní síť.</w:t>
      </w:r>
    </w:p>
    <w:p w14:paraId="4D789F84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78C68B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990AB1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514C880" w14:textId="7D80C7E1" w:rsidR="003F322E" w:rsidRDefault="003F322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F322E">
        <w:rPr>
          <w:rFonts w:ascii="Arial" w:hAnsi="Arial" w:cs="Arial"/>
          <w:color w:val="auto"/>
          <w:sz w:val="22"/>
          <w:szCs w:val="22"/>
        </w:rPr>
        <w:t>zvonem ze zvonice uprostřed vsi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50811140" w14:textId="7D85FD5F" w:rsidR="008E4B43" w:rsidRPr="003F322E" w:rsidRDefault="008E4B43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osobním předáním informace, případně využitím mobilních telefonů,</w:t>
      </w:r>
    </w:p>
    <w:p w14:paraId="460C049E" w14:textId="5F944FCE" w:rsidR="00EB68DE" w:rsidRPr="008E4B43" w:rsidRDefault="009D0968" w:rsidP="008E4B43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</w:rPr>
        <w:t xml:space="preserve">SMS zprávami zasílanými z KOPIS HZS Kraje Vysočina na mobilní telefony </w:t>
      </w:r>
      <w:r w:rsidR="00813C7C">
        <w:rPr>
          <w:rFonts w:ascii="Arial" w:hAnsi="Arial" w:cs="Arial"/>
        </w:rPr>
        <w:t xml:space="preserve">členů JSDH a </w:t>
      </w:r>
      <w:r>
        <w:rPr>
          <w:rFonts w:ascii="Arial" w:hAnsi="Arial" w:cs="Arial"/>
        </w:rPr>
        <w:t>představitelům obce</w:t>
      </w:r>
      <w:r w:rsidR="008E4B43">
        <w:rPr>
          <w:rFonts w:ascii="Arial" w:hAnsi="Arial" w:cs="Arial"/>
        </w:rPr>
        <w:t>.</w:t>
      </w:r>
    </w:p>
    <w:p w14:paraId="5619F012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C1BD81A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133E3710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4D31D94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229C85" w14:textId="3FDD55D1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kraje </w:t>
      </w:r>
      <w:r w:rsidR="004519A2">
        <w:rPr>
          <w:rFonts w:ascii="Arial" w:hAnsi="Arial" w:cs="Arial"/>
          <w:sz w:val="22"/>
          <w:szCs w:val="22"/>
        </w:rPr>
        <w:t xml:space="preserve">Vysočina </w:t>
      </w:r>
      <w:r w:rsidRPr="00EB68DE">
        <w:rPr>
          <w:rFonts w:ascii="Arial" w:hAnsi="Arial" w:cs="Arial"/>
          <w:sz w:val="22"/>
          <w:szCs w:val="22"/>
        </w:rPr>
        <w:t>je uveden v </w:t>
      </w:r>
      <w:r w:rsidRPr="00B824A0">
        <w:rPr>
          <w:rFonts w:ascii="Arial" w:hAnsi="Arial" w:cs="Arial"/>
          <w:color w:val="auto"/>
          <w:sz w:val="22"/>
          <w:szCs w:val="22"/>
        </w:rPr>
        <w:t>příloze č. 1 vyhlášky.</w:t>
      </w:r>
    </w:p>
    <w:p w14:paraId="44DB676B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0A245E5" w14:textId="052505D9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B824A0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5C6037C2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7247F7F2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000363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18ECC32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C9533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53482E5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A8E5BF8" w14:textId="7E8D6801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>Podpis</w:t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proofErr w:type="spellStart"/>
      <w:r w:rsidRPr="00EB68DE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26AE53B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9E8BB63" w14:textId="47D4F29F" w:rsidR="00EB68DE" w:rsidRPr="00EB68DE" w:rsidRDefault="004519A2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Jaromír Křivánek</w:t>
      </w:r>
      <w:r w:rsidR="004230FA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EB68DE" w:rsidRPr="00EB68DE">
        <w:rPr>
          <w:rFonts w:ascii="Arial" w:hAnsi="Arial" w:cs="Arial"/>
          <w:sz w:val="22"/>
          <w:szCs w:val="22"/>
        </w:rPr>
        <w:t xml:space="preserve"> </w:t>
      </w:r>
      <w:r w:rsidR="004230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Jana Klapušová</w:t>
      </w:r>
      <w:r w:rsidR="004230FA">
        <w:rPr>
          <w:rFonts w:ascii="Arial" w:hAnsi="Arial" w:cs="Arial"/>
          <w:sz w:val="22"/>
          <w:szCs w:val="22"/>
        </w:rPr>
        <w:t xml:space="preserve"> v.r.</w:t>
      </w:r>
    </w:p>
    <w:p w14:paraId="60698C38" w14:textId="5203C6DC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="00B824A0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</w:t>
      </w:r>
      <w:r w:rsidR="004519A2">
        <w:rPr>
          <w:rFonts w:ascii="Arial" w:hAnsi="Arial" w:cs="Arial"/>
          <w:sz w:val="22"/>
          <w:szCs w:val="22"/>
        </w:rPr>
        <w:t>k</w:t>
      </w:r>
      <w:r w:rsidRPr="00EB68DE">
        <w:rPr>
          <w:rFonts w:ascii="Arial" w:hAnsi="Arial" w:cs="Arial"/>
          <w:sz w:val="22"/>
          <w:szCs w:val="22"/>
        </w:rPr>
        <w:t>a</w:t>
      </w:r>
    </w:p>
    <w:p w14:paraId="4C353695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7BBDBC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3EF810" w14:textId="6DAF65E5" w:rsidR="006236A6" w:rsidRDefault="006236A6" w:rsidP="006236A6">
      <w:pPr>
        <w:spacing w:after="120"/>
        <w:rPr>
          <w:rFonts w:ascii="Arial" w:hAnsi="Arial" w:cs="Arial"/>
          <w:b/>
          <w:sz w:val="22"/>
          <w:szCs w:val="22"/>
        </w:rPr>
      </w:pPr>
    </w:p>
    <w:p w14:paraId="7CE50443" w14:textId="77777777" w:rsidR="009F500A" w:rsidRDefault="009F500A" w:rsidP="006236A6">
      <w:pPr>
        <w:spacing w:after="120"/>
        <w:rPr>
          <w:rFonts w:ascii="Arial" w:hAnsi="Arial" w:cs="Arial"/>
          <w:b/>
          <w:sz w:val="22"/>
          <w:szCs w:val="22"/>
        </w:rPr>
      </w:pPr>
    </w:p>
    <w:p w14:paraId="68BF8009" w14:textId="6AF3706A" w:rsidR="006236A6" w:rsidRDefault="006236A6" w:rsidP="006236A6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k o</w:t>
      </w:r>
      <w:r w:rsidR="00611EA3">
        <w:rPr>
          <w:rFonts w:ascii="Arial" w:hAnsi="Arial" w:cs="Arial"/>
          <w:b/>
          <w:sz w:val="22"/>
          <w:szCs w:val="22"/>
        </w:rPr>
        <w:t xml:space="preserve">becně závazné vyhlášce, </w:t>
      </w:r>
      <w:r>
        <w:rPr>
          <w:rFonts w:ascii="Arial" w:hAnsi="Arial" w:cs="Arial"/>
          <w:b/>
          <w:sz w:val="22"/>
          <w:szCs w:val="22"/>
        </w:rPr>
        <w:t>kterou se vydává požární řád</w:t>
      </w:r>
    </w:p>
    <w:p w14:paraId="159FCDC9" w14:textId="5DF9ABEF" w:rsidR="006236A6" w:rsidRDefault="006236A6" w:rsidP="006236A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kraje</w:t>
      </w:r>
      <w:r w:rsidR="0072254B">
        <w:rPr>
          <w:rFonts w:ascii="Arial" w:hAnsi="Arial" w:cs="Arial"/>
          <w:sz w:val="22"/>
          <w:szCs w:val="22"/>
        </w:rPr>
        <w:t xml:space="preserve"> Vysočina</w:t>
      </w:r>
      <w:r>
        <w:rPr>
          <w:rFonts w:ascii="Arial" w:hAnsi="Arial" w:cs="Arial"/>
          <w:sz w:val="22"/>
          <w:szCs w:val="22"/>
        </w:rPr>
        <w:t>.</w:t>
      </w:r>
    </w:p>
    <w:p w14:paraId="2EA65CCE" w14:textId="77777777" w:rsidR="006236A6" w:rsidRDefault="006236A6" w:rsidP="006236A6">
      <w:pPr>
        <w:spacing w:after="120"/>
        <w:rPr>
          <w:rFonts w:ascii="Arial" w:hAnsi="Arial" w:cs="Arial"/>
          <w:sz w:val="22"/>
          <w:szCs w:val="22"/>
        </w:rPr>
      </w:pPr>
    </w:p>
    <w:p w14:paraId="3F431AEF" w14:textId="65045712" w:rsidR="006236A6" w:rsidRDefault="006236A6" w:rsidP="006236A6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0C6D2356" w14:textId="77777777" w:rsidR="006236A6" w:rsidRDefault="006236A6" w:rsidP="006236A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Požární technika a věcné prostředky požární ochrany </w:t>
      </w:r>
      <w:r w:rsidRPr="00B53243">
        <w:rPr>
          <w:rFonts w:ascii="Arial" w:hAnsi="Arial" w:cs="Arial"/>
          <w:sz w:val="22"/>
          <w:szCs w:val="22"/>
        </w:rPr>
        <w:t>společné jednotky požární ochrany.</w:t>
      </w:r>
    </w:p>
    <w:p w14:paraId="51F14BEB" w14:textId="77777777" w:rsidR="006236A6" w:rsidRDefault="006236A6" w:rsidP="006236A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FA609F" w14:textId="728D3F21" w:rsidR="006236A6" w:rsidRDefault="006236A6" w:rsidP="006236A6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 k o</w:t>
      </w:r>
      <w:r w:rsidR="0072254B">
        <w:rPr>
          <w:rFonts w:ascii="Arial" w:hAnsi="Arial" w:cs="Arial"/>
          <w:b/>
          <w:sz w:val="22"/>
          <w:szCs w:val="22"/>
        </w:rPr>
        <w:t>becně závazné vyhlášce,</w:t>
      </w:r>
      <w:r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10597CF8" w14:textId="77777777" w:rsidR="006236A6" w:rsidRDefault="006236A6" w:rsidP="006236A6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(výpis z nařízení kraje + stanovené zdroje vody nad rámec tohoto nařízení kraje).</w:t>
      </w:r>
    </w:p>
    <w:p w14:paraId="6AA1896B" w14:textId="67601D15" w:rsidR="0072254B" w:rsidRPr="009267E6" w:rsidRDefault="006236A6" w:rsidP="00966E6A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 nim.</w:t>
      </w:r>
    </w:p>
    <w:p w14:paraId="3C847BA3" w14:textId="55799A1C" w:rsidR="00264860" w:rsidRPr="00D0105C" w:rsidRDefault="00EB68DE" w:rsidP="00611EA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</w:t>
      </w:r>
      <w:r w:rsidR="0008442F">
        <w:rPr>
          <w:rFonts w:ascii="Arial" w:hAnsi="Arial" w:cs="Arial"/>
          <w:b/>
          <w:bCs/>
          <w:iCs/>
          <w:sz w:val="22"/>
          <w:szCs w:val="22"/>
        </w:rPr>
        <w:t>becně závazné vyhlášce,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  <w:r w:rsidR="00192610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14:paraId="4187E4D2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5622681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16BF103" w14:textId="3B4146FE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 kraje</w:t>
      </w:r>
      <w:r w:rsidR="0008442F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14:paraId="5509EB3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892536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096AB3A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F33A00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A8EB26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8"/>
        <w:gridCol w:w="2271"/>
        <w:gridCol w:w="2127"/>
        <w:gridCol w:w="2125"/>
      </w:tblGrid>
      <w:tr w:rsidR="00264860" w:rsidRPr="00D0105C" w14:paraId="029F3A64" w14:textId="77777777" w:rsidTr="0072254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E604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72254B" w:rsidRPr="00D0105C" w14:paraId="1B2C62F1" w14:textId="77777777" w:rsidTr="00995F18">
        <w:trPr>
          <w:tblCellSpacing w:w="0" w:type="dxa"/>
          <w:jc w:val="center"/>
        </w:trPr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FB837" w14:textId="77777777" w:rsidR="0072254B" w:rsidRPr="00D0105C" w:rsidRDefault="0072254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ADE10" w14:textId="77777777" w:rsidR="0072254B" w:rsidRPr="00D0105C" w:rsidRDefault="0072254B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5F29D" w14:textId="77777777" w:rsidR="0072254B" w:rsidRPr="00D0105C" w:rsidRDefault="0072254B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952F7" w14:textId="77777777" w:rsidR="0072254B" w:rsidRPr="00D0105C" w:rsidRDefault="0072254B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</w:tr>
      <w:tr w:rsidR="0072254B" w:rsidRPr="00D0105C" w14:paraId="1C1DA140" w14:textId="77777777" w:rsidTr="00995F18">
        <w:trPr>
          <w:tblCellSpacing w:w="0" w:type="dxa"/>
          <w:jc w:val="center"/>
        </w:trPr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C87E1" w14:textId="77777777" w:rsidR="0072254B" w:rsidRPr="00995F18" w:rsidRDefault="0072254B" w:rsidP="0072254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995F18">
              <w:rPr>
                <w:rFonts w:ascii="Arial" w:hAnsi="Arial" w:cs="Arial"/>
                <w:b/>
                <w:sz w:val="20"/>
                <w:szCs w:val="22"/>
              </w:rPr>
              <w:t>Název jednotek požární ochrany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56B6C" w14:textId="35BC4F5B" w:rsidR="0072254B" w:rsidRPr="0062451D" w:rsidRDefault="0072254B" w:rsidP="0072254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Kraje Vysočina – HS Třebíč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70047" w14:textId="0877D258" w:rsidR="0072254B" w:rsidRPr="0062451D" w:rsidRDefault="0072254B" w:rsidP="0072254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Kamenice-JI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268F3" w14:textId="1763486C" w:rsidR="0072254B" w:rsidRPr="0062451D" w:rsidRDefault="0072254B" w:rsidP="0072254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Svatoslav</w:t>
            </w:r>
          </w:p>
        </w:tc>
      </w:tr>
      <w:tr w:rsidR="0072254B" w:rsidRPr="0062451D" w14:paraId="1366B71C" w14:textId="77777777" w:rsidTr="00995F18">
        <w:trPr>
          <w:tblCellSpacing w:w="0" w:type="dxa"/>
          <w:jc w:val="center"/>
        </w:trPr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FC7CD" w14:textId="77777777" w:rsidR="0072254B" w:rsidRPr="00995F18" w:rsidRDefault="0072254B" w:rsidP="0072254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995F18">
              <w:rPr>
                <w:rFonts w:ascii="Arial" w:hAnsi="Arial" w:cs="Arial"/>
                <w:b/>
                <w:sz w:val="20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0DC1D" w14:textId="213663CE" w:rsidR="0072254B" w:rsidRPr="0062451D" w:rsidRDefault="0072254B" w:rsidP="0072254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919CE" w14:textId="0D90E3A1" w:rsidR="0072254B" w:rsidRPr="0062451D" w:rsidRDefault="0072254B" w:rsidP="0072254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FC270" w14:textId="6A65F597" w:rsidR="0072254B" w:rsidRPr="0062451D" w:rsidRDefault="0072254B" w:rsidP="0072254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668B699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5DA297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C333633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3B316F9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8851D21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5BB708D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2D9AAE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37E96B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69D8A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A9728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9AB82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984CB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C5104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0E6C4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5CBCA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BD4859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8D72B1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75F3F3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1C90A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5E68601" w14:textId="7A8CFAD2" w:rsidR="00C3598B" w:rsidRDefault="00C359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4349231" w14:textId="2CD495E5" w:rsidR="00264860" w:rsidRPr="00D0105C" w:rsidRDefault="00264860" w:rsidP="00611EA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2FD9357F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E61EDB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93A899B" w14:textId="3523E2DD" w:rsidR="00264860" w:rsidRPr="0072254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72254B">
        <w:rPr>
          <w:rFonts w:ascii="Arial" w:hAnsi="Arial" w:cs="Arial"/>
          <w:b/>
          <w:bCs/>
          <w:sz w:val="22"/>
          <w:szCs w:val="22"/>
          <w:u w:val="single"/>
        </w:rPr>
        <w:t>společné jednotky požární ochrany</w:t>
      </w:r>
    </w:p>
    <w:p w14:paraId="45BDD52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D2B7721" w14:textId="63BE64B8" w:rsidR="00264860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28"/>
        <w:gridCol w:w="1449"/>
        <w:gridCol w:w="1639"/>
        <w:gridCol w:w="1581"/>
        <w:gridCol w:w="1699"/>
      </w:tblGrid>
      <w:tr w:rsidR="0072254B" w14:paraId="1BFA4263" w14:textId="77777777" w:rsidTr="00414B09">
        <w:trPr>
          <w:cantSplit/>
        </w:trPr>
        <w:tc>
          <w:tcPr>
            <w:tcW w:w="182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7879055A" w14:textId="77777777" w:rsidR="0072254B" w:rsidRDefault="0072254B" w:rsidP="00414B09">
            <w:pPr>
              <w:jc w:val="center"/>
            </w:pPr>
            <w:r>
              <w:t>Dislokace JPO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55CF3B3D" w14:textId="77777777" w:rsidR="0072254B" w:rsidRDefault="0072254B" w:rsidP="00414B09">
            <w:pPr>
              <w:jc w:val="center"/>
            </w:pPr>
            <w:r>
              <w:t>Kategorie JPO</w:t>
            </w:r>
          </w:p>
        </w:tc>
        <w:tc>
          <w:tcPr>
            <w:tcW w:w="163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0A208295" w14:textId="77777777" w:rsidR="0072254B" w:rsidRDefault="0072254B" w:rsidP="00414B09">
            <w:pPr>
              <w:jc w:val="center"/>
            </w:pPr>
            <w:r>
              <w:t>Počet členů</w:t>
            </w:r>
          </w:p>
        </w:tc>
        <w:tc>
          <w:tcPr>
            <w:tcW w:w="3278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C3E456E" w14:textId="77777777" w:rsidR="0072254B" w:rsidRDefault="0072254B" w:rsidP="00414B09">
            <w:pPr>
              <w:jc w:val="center"/>
            </w:pPr>
            <w:r>
              <w:t>Počet členů v pohotovosti</w:t>
            </w:r>
          </w:p>
        </w:tc>
      </w:tr>
      <w:tr w:rsidR="0072254B" w14:paraId="10251227" w14:textId="77777777" w:rsidTr="00414B09">
        <w:trPr>
          <w:cantSplit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D196FF" w14:textId="77777777" w:rsidR="0072254B" w:rsidRDefault="0072254B" w:rsidP="00414B09">
            <w:pPr>
              <w:jc w:val="center"/>
            </w:pPr>
            <w:r>
              <w:t>Kamenice č.p. 17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9A95F9" w14:textId="4A7993B2" w:rsidR="0072254B" w:rsidRDefault="0072254B" w:rsidP="0072254B">
            <w:pPr>
              <w:jc w:val="center"/>
            </w:pPr>
            <w:r>
              <w:t>III/I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782323" w14:textId="77777777" w:rsidR="0072254B" w:rsidRDefault="0072254B" w:rsidP="00414B09">
            <w:pPr>
              <w:jc w:val="center"/>
            </w:pPr>
            <w:r>
              <w:t>23</w:t>
            </w:r>
          </w:p>
        </w:tc>
        <w:tc>
          <w:tcPr>
            <w:tcW w:w="32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E8B99A" w14:textId="77777777" w:rsidR="0072254B" w:rsidRDefault="0072254B" w:rsidP="00414B09">
            <w:pPr>
              <w:jc w:val="center"/>
            </w:pPr>
            <w:r>
              <w:t>0</w:t>
            </w:r>
          </w:p>
        </w:tc>
      </w:tr>
      <w:tr w:rsidR="0072254B" w14:paraId="65916496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362766" w14:textId="77777777" w:rsidR="0072254B" w:rsidRDefault="0072254B" w:rsidP="00414B09">
            <w:pPr>
              <w:pStyle w:val="Nadpis2"/>
              <w:rPr>
                <w:szCs w:val="24"/>
              </w:rPr>
            </w:pPr>
            <w:r>
              <w:rPr>
                <w:b/>
                <w:bCs/>
                <w:szCs w:val="24"/>
              </w:rPr>
              <w:t>Požární technika a věcné prostředky PO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926DF7" w14:textId="77777777" w:rsidR="0072254B" w:rsidRDefault="0072254B" w:rsidP="00414B09">
            <w:pPr>
              <w:pStyle w:val="Nadpis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Počet</w:t>
            </w:r>
          </w:p>
        </w:tc>
      </w:tr>
      <w:tr w:rsidR="0072254B" w14:paraId="71716BC9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AFC1" w14:textId="77777777" w:rsidR="0072254B" w:rsidRDefault="0072254B" w:rsidP="00414B09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 30/8500/510-S3R TATRA 815 RZ 4J4 7050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7F29BF" w14:textId="77777777" w:rsidR="0072254B" w:rsidRDefault="0072254B" w:rsidP="00414B09">
            <w:pPr>
              <w:jc w:val="center"/>
            </w:pPr>
            <w:r>
              <w:t>1</w:t>
            </w:r>
          </w:p>
        </w:tc>
      </w:tr>
      <w:tr w:rsidR="0072254B" w14:paraId="55C6F74E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F156" w14:textId="77777777" w:rsidR="0072254B" w:rsidRDefault="0072254B" w:rsidP="00414B09">
            <w:r>
              <w:t>OA-L1 – Škoda Roomster 1,4 RZ 5T9 8136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7738B4" w14:textId="77777777" w:rsidR="0072254B" w:rsidRDefault="0072254B" w:rsidP="00414B09">
            <w:pPr>
              <w:jc w:val="center"/>
            </w:pPr>
            <w:r>
              <w:t>1</w:t>
            </w:r>
          </w:p>
        </w:tc>
      </w:tr>
      <w:tr w:rsidR="0072254B" w14:paraId="169ADB74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41BB" w14:textId="77777777" w:rsidR="0072254B" w:rsidRDefault="0072254B" w:rsidP="00414B09">
            <w:r>
              <w:t>MPR Husqvarna 550 X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88726F" w14:textId="77777777" w:rsidR="0072254B" w:rsidRDefault="0072254B" w:rsidP="00414B09">
            <w:pPr>
              <w:jc w:val="center"/>
            </w:pPr>
            <w:r>
              <w:t>1</w:t>
            </w:r>
          </w:p>
        </w:tc>
      </w:tr>
      <w:tr w:rsidR="0072254B" w14:paraId="2001BD6D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9D6C" w14:textId="77777777" w:rsidR="0072254B" w:rsidRDefault="0072254B" w:rsidP="00414B09">
            <w:pPr>
              <w:rPr>
                <w:color w:val="000000"/>
              </w:rPr>
            </w:pPr>
            <w:r>
              <w:rPr>
                <w:color w:val="000000"/>
              </w:rPr>
              <w:t>ČER Ponorné čerpadlo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611F7C" w14:textId="77777777" w:rsidR="0072254B" w:rsidRDefault="0072254B" w:rsidP="00414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2254B" w14:paraId="07304C57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CF38" w14:textId="77777777" w:rsidR="0072254B" w:rsidRDefault="0072254B" w:rsidP="00414B09">
            <w:pPr>
              <w:rPr>
                <w:color w:val="000000"/>
              </w:rPr>
            </w:pPr>
            <w:r>
              <w:rPr>
                <w:color w:val="000000"/>
              </w:rPr>
              <w:t xml:space="preserve">EC 6 </w:t>
            </w:r>
            <w:proofErr w:type="spellStart"/>
            <w:r>
              <w:rPr>
                <w:color w:val="000000"/>
              </w:rPr>
              <w:t>Geko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368244" w14:textId="77777777" w:rsidR="0072254B" w:rsidRDefault="0072254B" w:rsidP="00414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2254B" w14:paraId="093CBF68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4CB7" w14:textId="77777777" w:rsidR="0072254B" w:rsidRDefault="0072254B" w:rsidP="00414B09">
            <w:r>
              <w:t>DA-L1Z Volkswagen T6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A501A4" w14:textId="77777777" w:rsidR="0072254B" w:rsidRDefault="0072254B" w:rsidP="00414B09">
            <w:pPr>
              <w:jc w:val="center"/>
            </w:pPr>
            <w:r>
              <w:t>1</w:t>
            </w:r>
          </w:p>
        </w:tc>
      </w:tr>
      <w:tr w:rsidR="0072254B" w14:paraId="77DFBA08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AF8D" w14:textId="77777777" w:rsidR="0072254B" w:rsidRDefault="0072254B" w:rsidP="00414B09">
            <w:r>
              <w:t>KČ PH 1200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66ABF5" w14:textId="77777777" w:rsidR="0072254B" w:rsidRDefault="0072254B" w:rsidP="00414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2254B" w14:paraId="3E84C623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B18D" w14:textId="77777777" w:rsidR="0072254B" w:rsidRDefault="0072254B" w:rsidP="00414B09">
            <w:r>
              <w:t>PMC plovoucí čerpadlo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D856C0" w14:textId="77777777" w:rsidR="0072254B" w:rsidRDefault="0072254B" w:rsidP="00414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2254B" w14:paraId="0B0A7816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0403" w14:textId="77777777" w:rsidR="0072254B" w:rsidRDefault="0072254B" w:rsidP="00414B09">
            <w:r>
              <w:t xml:space="preserve">PN přívěs </w:t>
            </w:r>
            <w:proofErr w:type="spellStart"/>
            <w:r>
              <w:t>nákladní-povodňový</w:t>
            </w:r>
            <w:proofErr w:type="spellEnd"/>
            <w:r>
              <w:t xml:space="preserve"> RZ 5J3 7741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508BA7" w14:textId="77777777" w:rsidR="0072254B" w:rsidRDefault="0072254B" w:rsidP="00414B09">
            <w:pPr>
              <w:jc w:val="center"/>
            </w:pPr>
            <w:r>
              <w:t>1</w:t>
            </w:r>
          </w:p>
        </w:tc>
      </w:tr>
      <w:tr w:rsidR="0072254B" w14:paraId="2031D58A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A58E" w14:textId="77777777" w:rsidR="0072254B" w:rsidRDefault="0072254B" w:rsidP="00414B09">
            <w:r>
              <w:t>OA-L1 Volkswagen T4 RZ JIH 3125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B50FF4" w14:textId="77777777" w:rsidR="0072254B" w:rsidRDefault="0072254B" w:rsidP="00414B09">
            <w:pPr>
              <w:jc w:val="center"/>
            </w:pPr>
            <w:r>
              <w:t>1</w:t>
            </w:r>
          </w:p>
        </w:tc>
      </w:tr>
      <w:tr w:rsidR="0072254B" w14:paraId="5EF67182" w14:textId="77777777" w:rsidTr="00414B09">
        <w:trPr>
          <w:cantSplit/>
        </w:trPr>
        <w:tc>
          <w:tcPr>
            <w:tcW w:w="649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D9D711" w14:textId="77777777" w:rsidR="0072254B" w:rsidRDefault="0072254B" w:rsidP="00414B09">
            <w:r>
              <w:t>MPR Husqvarna 365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1C6909" w14:textId="77777777" w:rsidR="0072254B" w:rsidRDefault="0072254B" w:rsidP="00414B09">
            <w:pPr>
              <w:jc w:val="center"/>
            </w:pPr>
            <w:r>
              <w:t>1</w:t>
            </w:r>
          </w:p>
        </w:tc>
      </w:tr>
    </w:tbl>
    <w:p w14:paraId="1A2AD6A4" w14:textId="77777777" w:rsidR="0072254B" w:rsidRPr="00D0105C" w:rsidRDefault="0072254B" w:rsidP="00264860">
      <w:pPr>
        <w:rPr>
          <w:rFonts w:ascii="Arial" w:hAnsi="Arial" w:cs="Arial"/>
          <w:sz w:val="22"/>
          <w:szCs w:val="22"/>
        </w:rPr>
      </w:pPr>
    </w:p>
    <w:p w14:paraId="07863AAE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385EB4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39F898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A6C33F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11A95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99A9E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17A0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7E57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FE888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C7FC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3858F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BB03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77CB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B552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23C7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B46C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B7DA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3C452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34DD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16E20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EA84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F4BC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FA18B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9243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3B039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0667B0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C4B9FB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1FB3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1EB027" w14:textId="77777777" w:rsidR="00C3598B" w:rsidRDefault="00C3598B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EBF43F8" w14:textId="3457F166" w:rsidR="00264860" w:rsidRPr="00D0105C" w:rsidRDefault="00264860" w:rsidP="00611EA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2A9F565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DC0FC63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F9F2A3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8229DE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6"/>
        <w:gridCol w:w="1649"/>
        <w:gridCol w:w="1134"/>
        <w:gridCol w:w="2409"/>
        <w:gridCol w:w="1715"/>
      </w:tblGrid>
      <w:tr w:rsidR="00264860" w:rsidRPr="00D0105C" w14:paraId="6310EA60" w14:textId="77777777" w:rsidTr="00A32ABE">
        <w:trPr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0635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EB6F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E502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62FB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0DB1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1D85E29D" w14:textId="77777777" w:rsidTr="00A32ABE">
        <w:trPr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C3E91" w14:textId="77777777" w:rsidR="00264860" w:rsidRPr="00A32AB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32ABE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90469" w14:textId="23FBFEF4" w:rsidR="00264860" w:rsidRPr="00A32ABE" w:rsidRDefault="00A32AB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32ABE">
              <w:rPr>
                <w:rFonts w:ascii="Arial" w:hAnsi="Arial" w:cs="Arial"/>
                <w:sz w:val="22"/>
                <w:szCs w:val="22"/>
              </w:rPr>
              <w:t>obecní rybník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B11C7" w14:textId="6552EB62" w:rsidR="00264860" w:rsidRPr="00A32AB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32AB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5CCC5" w14:textId="64BB0BB2" w:rsidR="00264860" w:rsidRPr="00A32ABE" w:rsidRDefault="00A32AB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32ABE">
              <w:rPr>
                <w:rFonts w:ascii="Arial" w:hAnsi="Arial" w:cs="Arial"/>
                <w:sz w:val="22"/>
                <w:szCs w:val="22"/>
              </w:rPr>
              <w:t>z místní komunikace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D745C" w14:textId="77777777" w:rsidR="00264860" w:rsidRPr="00A32AB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32AB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132F1" w:rsidRPr="00D0105C" w14:paraId="14755B86" w14:textId="77777777" w:rsidTr="00A32ABE">
        <w:trPr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357CF" w14:textId="02929FD7" w:rsidR="001132F1" w:rsidRPr="00390E1C" w:rsidRDefault="001132F1" w:rsidP="001132F1">
            <w:pPr>
              <w:rPr>
                <w:rFonts w:ascii="Arial" w:hAnsi="Arial" w:cs="Arial"/>
                <w:sz w:val="22"/>
                <w:szCs w:val="22"/>
              </w:rPr>
            </w:pPr>
            <w:r w:rsidRPr="00390E1C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C7191" w14:textId="4E0ABD57" w:rsidR="001132F1" w:rsidRPr="00390E1C" w:rsidRDefault="001132F1" w:rsidP="001132F1">
            <w:pPr>
              <w:rPr>
                <w:rFonts w:ascii="Arial" w:hAnsi="Arial" w:cs="Arial"/>
                <w:sz w:val="22"/>
                <w:szCs w:val="22"/>
              </w:rPr>
            </w:pPr>
            <w:r w:rsidRPr="00390E1C">
              <w:rPr>
                <w:rFonts w:ascii="Arial" w:hAnsi="Arial" w:cs="Arial"/>
                <w:sz w:val="22"/>
                <w:szCs w:val="22"/>
              </w:rPr>
              <w:t>hydrantová sít veřejného vodovodu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DD1EC" w14:textId="77777777" w:rsidR="001132F1" w:rsidRPr="00390E1C" w:rsidRDefault="001132F1" w:rsidP="001132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E8A60" w14:textId="1C76C5A4" w:rsidR="00390E1C" w:rsidRDefault="00390E1C" w:rsidP="00113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132F1" w:rsidRPr="00390E1C">
              <w:rPr>
                <w:rFonts w:ascii="Arial" w:hAnsi="Arial" w:cs="Arial"/>
                <w:sz w:val="22"/>
                <w:szCs w:val="22"/>
              </w:rPr>
              <w:t>odzemní hydrant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80595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0EA254" w14:textId="670D06DF" w:rsidR="001132F1" w:rsidRDefault="00805957" w:rsidP="00113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cesta u </w:t>
            </w:r>
            <w:r w:rsidR="001132F1" w:rsidRPr="00390E1C">
              <w:rPr>
                <w:rFonts w:ascii="Arial" w:hAnsi="Arial" w:cs="Arial"/>
                <w:sz w:val="22"/>
                <w:szCs w:val="22"/>
              </w:rPr>
              <w:t>č</w:t>
            </w:r>
            <w:r w:rsidR="0070306C">
              <w:rPr>
                <w:rFonts w:ascii="Arial" w:hAnsi="Arial" w:cs="Arial"/>
                <w:sz w:val="22"/>
                <w:szCs w:val="22"/>
              </w:rPr>
              <w:t>.</w:t>
            </w:r>
            <w:r w:rsidR="001132F1" w:rsidRPr="00390E1C">
              <w:rPr>
                <w:rFonts w:ascii="Arial" w:hAnsi="Arial" w:cs="Arial"/>
                <w:sz w:val="22"/>
                <w:szCs w:val="22"/>
              </w:rPr>
              <w:t>p.</w:t>
            </w:r>
            <w:r w:rsidR="00390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05B">
              <w:rPr>
                <w:rFonts w:ascii="Arial" w:hAnsi="Arial" w:cs="Arial"/>
                <w:sz w:val="22"/>
                <w:szCs w:val="22"/>
              </w:rPr>
              <w:t>24/2</w:t>
            </w:r>
          </w:p>
          <w:p w14:paraId="62D04774" w14:textId="1DDE9A4F" w:rsidR="00390E1C" w:rsidRDefault="00390E1C" w:rsidP="00113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autobusov</w:t>
            </w:r>
            <w:r w:rsidR="00805957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 xml:space="preserve"> zastávk</w:t>
            </w:r>
            <w:r w:rsidR="00805957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C36B4DA" w14:textId="79A565B7" w:rsidR="00390E1C" w:rsidRPr="00390E1C" w:rsidRDefault="00805957" w:rsidP="00113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 </w:t>
            </w:r>
            <w:r w:rsidR="00390E1C">
              <w:rPr>
                <w:rFonts w:ascii="Arial" w:hAnsi="Arial" w:cs="Arial"/>
                <w:sz w:val="22"/>
                <w:szCs w:val="22"/>
              </w:rPr>
              <w:t xml:space="preserve">č.p. 2, </w:t>
            </w:r>
          </w:p>
          <w:p w14:paraId="52EB0328" w14:textId="5D0EC096" w:rsidR="001132F1" w:rsidRPr="00390E1C" w:rsidRDefault="0070306C" w:rsidP="00113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805957">
              <w:rPr>
                <w:rFonts w:ascii="Arial" w:hAnsi="Arial" w:cs="Arial"/>
                <w:sz w:val="22"/>
                <w:szCs w:val="22"/>
              </w:rPr>
              <w:t>kravín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4E6C2" w14:textId="22C23CC1" w:rsidR="001132F1" w:rsidRPr="00D0105C" w:rsidRDefault="001132F1" w:rsidP="001132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7B93652F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DEF3AB3" w14:textId="77777777" w:rsidR="00A32ABE" w:rsidRDefault="00A32ABE" w:rsidP="00A32ABE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47CD85" w14:textId="77777777" w:rsidR="00A32ABE" w:rsidRDefault="00A32ABE" w:rsidP="00A32ABE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A4D2FB" w14:textId="72DCA810" w:rsidR="00264860" w:rsidRPr="00A32ABE" w:rsidRDefault="00264860" w:rsidP="00A32ABE">
      <w:pPr>
        <w:pStyle w:val="Odstavecseseznamem"/>
        <w:numPr>
          <w:ilvl w:val="0"/>
          <w:numId w:val="28"/>
        </w:numPr>
        <w:jc w:val="center"/>
        <w:rPr>
          <w:rFonts w:ascii="Arial" w:hAnsi="Arial" w:cs="Arial"/>
          <w:b/>
          <w:u w:val="single"/>
        </w:rPr>
      </w:pPr>
      <w:proofErr w:type="spellStart"/>
      <w:r w:rsidRPr="00A32ABE">
        <w:rPr>
          <w:rFonts w:ascii="Arial" w:hAnsi="Arial" w:cs="Arial"/>
          <w:b/>
          <w:u w:val="single"/>
        </w:rPr>
        <w:t>Plánek</w:t>
      </w:r>
      <w:proofErr w:type="spellEnd"/>
      <w:r w:rsidRPr="00A32ABE">
        <w:rPr>
          <w:rFonts w:ascii="Arial" w:hAnsi="Arial" w:cs="Arial"/>
          <w:b/>
          <w:u w:val="single"/>
        </w:rPr>
        <w:t xml:space="preserve"> </w:t>
      </w:r>
      <w:proofErr w:type="spellStart"/>
      <w:r w:rsidRPr="00A32ABE">
        <w:rPr>
          <w:rFonts w:ascii="Arial" w:hAnsi="Arial" w:cs="Arial"/>
          <w:b/>
          <w:u w:val="single"/>
        </w:rPr>
        <w:t>obce</w:t>
      </w:r>
      <w:proofErr w:type="spellEnd"/>
      <w:r w:rsidRPr="00A32ABE">
        <w:rPr>
          <w:rFonts w:ascii="Arial" w:hAnsi="Arial" w:cs="Arial"/>
          <w:b/>
          <w:u w:val="single"/>
        </w:rPr>
        <w:t xml:space="preserve"> s </w:t>
      </w:r>
      <w:proofErr w:type="spellStart"/>
      <w:r w:rsidRPr="00A32ABE">
        <w:rPr>
          <w:rFonts w:ascii="Arial" w:hAnsi="Arial" w:cs="Arial"/>
          <w:b/>
          <w:u w:val="single"/>
        </w:rPr>
        <w:t>vyznačením</w:t>
      </w:r>
      <w:proofErr w:type="spellEnd"/>
      <w:r w:rsidRPr="00A32ABE">
        <w:rPr>
          <w:rFonts w:ascii="Arial" w:hAnsi="Arial" w:cs="Arial"/>
          <w:b/>
          <w:u w:val="single"/>
        </w:rPr>
        <w:t xml:space="preserve"> </w:t>
      </w:r>
      <w:proofErr w:type="spellStart"/>
      <w:r w:rsidRPr="00A32ABE">
        <w:rPr>
          <w:rFonts w:ascii="Arial" w:hAnsi="Arial" w:cs="Arial"/>
          <w:b/>
          <w:u w:val="single"/>
        </w:rPr>
        <w:t>zdrojů</w:t>
      </w:r>
      <w:proofErr w:type="spellEnd"/>
      <w:r w:rsidRPr="00A32ABE">
        <w:rPr>
          <w:rFonts w:ascii="Arial" w:hAnsi="Arial" w:cs="Arial"/>
          <w:b/>
          <w:u w:val="single"/>
        </w:rPr>
        <w:t xml:space="preserve"> </w:t>
      </w:r>
      <w:proofErr w:type="spellStart"/>
      <w:r w:rsidRPr="00A32ABE">
        <w:rPr>
          <w:rFonts w:ascii="Arial" w:hAnsi="Arial" w:cs="Arial"/>
          <w:b/>
          <w:u w:val="single"/>
        </w:rPr>
        <w:t>vody</w:t>
      </w:r>
      <w:proofErr w:type="spellEnd"/>
      <w:r w:rsidRPr="00A32ABE">
        <w:rPr>
          <w:rFonts w:ascii="Arial" w:hAnsi="Arial" w:cs="Arial"/>
          <w:b/>
          <w:u w:val="single"/>
        </w:rPr>
        <w:t xml:space="preserve"> pro </w:t>
      </w:r>
      <w:proofErr w:type="spellStart"/>
      <w:r w:rsidRPr="00A32ABE">
        <w:rPr>
          <w:rFonts w:ascii="Arial" w:hAnsi="Arial" w:cs="Arial"/>
          <w:b/>
          <w:u w:val="single"/>
        </w:rPr>
        <w:t>hašení</w:t>
      </w:r>
      <w:proofErr w:type="spellEnd"/>
      <w:r w:rsidRPr="00A32ABE">
        <w:rPr>
          <w:rFonts w:ascii="Arial" w:hAnsi="Arial" w:cs="Arial"/>
          <w:b/>
          <w:u w:val="single"/>
        </w:rPr>
        <w:t xml:space="preserve"> </w:t>
      </w:r>
      <w:proofErr w:type="spellStart"/>
      <w:r w:rsidRPr="00A32ABE">
        <w:rPr>
          <w:rFonts w:ascii="Arial" w:hAnsi="Arial" w:cs="Arial"/>
          <w:b/>
          <w:u w:val="single"/>
        </w:rPr>
        <w:t>požárů</w:t>
      </w:r>
      <w:proofErr w:type="spellEnd"/>
      <w:r w:rsidRPr="00A32ABE">
        <w:rPr>
          <w:rFonts w:ascii="Arial" w:hAnsi="Arial" w:cs="Arial"/>
          <w:b/>
          <w:u w:val="single"/>
        </w:rPr>
        <w:t xml:space="preserve">, </w:t>
      </w:r>
      <w:proofErr w:type="spellStart"/>
      <w:r w:rsidRPr="00A32ABE">
        <w:rPr>
          <w:rFonts w:ascii="Arial" w:hAnsi="Arial" w:cs="Arial"/>
          <w:b/>
          <w:u w:val="single"/>
        </w:rPr>
        <w:t>čerpacích</w:t>
      </w:r>
      <w:proofErr w:type="spellEnd"/>
      <w:r w:rsidRPr="00A32ABE">
        <w:rPr>
          <w:rFonts w:ascii="Arial" w:hAnsi="Arial" w:cs="Arial"/>
          <w:b/>
          <w:u w:val="single"/>
        </w:rPr>
        <w:t xml:space="preserve"> </w:t>
      </w:r>
      <w:proofErr w:type="spellStart"/>
      <w:r w:rsidRPr="00A32ABE">
        <w:rPr>
          <w:rFonts w:ascii="Arial" w:hAnsi="Arial" w:cs="Arial"/>
          <w:b/>
          <w:u w:val="single"/>
        </w:rPr>
        <w:t>stanovišť</w:t>
      </w:r>
      <w:proofErr w:type="spellEnd"/>
      <w:r w:rsidRPr="00A32ABE">
        <w:rPr>
          <w:rFonts w:ascii="Arial" w:hAnsi="Arial" w:cs="Arial"/>
          <w:b/>
          <w:u w:val="single"/>
        </w:rPr>
        <w:t xml:space="preserve"> a </w:t>
      </w:r>
      <w:proofErr w:type="spellStart"/>
      <w:r w:rsidRPr="00A32ABE">
        <w:rPr>
          <w:rFonts w:ascii="Arial" w:hAnsi="Arial" w:cs="Arial"/>
          <w:b/>
          <w:u w:val="single"/>
        </w:rPr>
        <w:t>směru</w:t>
      </w:r>
      <w:proofErr w:type="spellEnd"/>
      <w:r w:rsidRPr="00A32ABE">
        <w:rPr>
          <w:rFonts w:ascii="Arial" w:hAnsi="Arial" w:cs="Arial"/>
          <w:b/>
          <w:u w:val="single"/>
        </w:rPr>
        <w:t xml:space="preserve"> </w:t>
      </w:r>
      <w:proofErr w:type="spellStart"/>
      <w:r w:rsidRPr="00A32ABE">
        <w:rPr>
          <w:rFonts w:ascii="Arial" w:hAnsi="Arial" w:cs="Arial"/>
          <w:b/>
          <w:u w:val="single"/>
        </w:rPr>
        <w:t>příjezdu</w:t>
      </w:r>
      <w:proofErr w:type="spellEnd"/>
      <w:r w:rsidRPr="00A32ABE">
        <w:rPr>
          <w:rFonts w:ascii="Arial" w:hAnsi="Arial" w:cs="Arial"/>
          <w:b/>
          <w:u w:val="single"/>
        </w:rPr>
        <w:t xml:space="preserve"> k </w:t>
      </w:r>
      <w:proofErr w:type="spellStart"/>
      <w:r w:rsidRPr="00A32ABE">
        <w:rPr>
          <w:rFonts w:ascii="Arial" w:hAnsi="Arial" w:cs="Arial"/>
          <w:b/>
          <w:u w:val="single"/>
        </w:rPr>
        <w:t>nim</w:t>
      </w:r>
      <w:proofErr w:type="spellEnd"/>
    </w:p>
    <w:p w14:paraId="0B3ECC31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DFED160" w14:textId="2029CC93" w:rsidR="00686504" w:rsidRPr="001A7CFD" w:rsidRDefault="00390E1C" w:rsidP="001A7CFD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0570913C" wp14:editId="2291345F">
            <wp:extent cx="5760720" cy="3915410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ka-hydrant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8C3">
        <w:rPr>
          <w:rFonts w:ascii="Arial" w:hAnsi="Arial" w:cs="Arial"/>
          <w:sz w:val="22"/>
          <w:szCs w:val="22"/>
        </w:rPr>
        <w:t xml:space="preserve"> </w:t>
      </w:r>
    </w:p>
    <w:p w14:paraId="53B309A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685DA8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1C5F5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82ED6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D9EC2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B75F" w14:textId="77777777" w:rsidR="00A943DB" w:rsidRDefault="00A943DB">
      <w:r>
        <w:separator/>
      </w:r>
    </w:p>
  </w:endnote>
  <w:endnote w:type="continuationSeparator" w:id="0">
    <w:p w14:paraId="42E98DA4" w14:textId="77777777" w:rsidR="00A943DB" w:rsidRDefault="00A9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8C8F" w14:textId="77777777" w:rsidR="00A943DB" w:rsidRDefault="00A943DB">
      <w:r>
        <w:separator/>
      </w:r>
    </w:p>
  </w:footnote>
  <w:footnote w:type="continuationSeparator" w:id="0">
    <w:p w14:paraId="401AEB32" w14:textId="77777777" w:rsidR="00A943DB" w:rsidRDefault="00A943DB">
      <w:r>
        <w:continuationSeparator/>
      </w:r>
    </w:p>
  </w:footnote>
  <w:footnote w:id="1">
    <w:p w14:paraId="0923426C" w14:textId="61CBFDD6" w:rsidR="00F552C3" w:rsidRDefault="00F552C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552C3">
        <w:t>§ 7 odst. 1 zákona o požární ochraně</w:t>
      </w:r>
    </w:p>
  </w:footnote>
  <w:footnote w:id="2">
    <w:p w14:paraId="1830472D" w14:textId="7954301C" w:rsidR="0064656B" w:rsidRDefault="0064656B">
      <w:pPr>
        <w:pStyle w:val="Textpoznpodarou"/>
      </w:pPr>
      <w:r>
        <w:rPr>
          <w:rStyle w:val="Znakapoznpodarou"/>
        </w:rPr>
        <w:footnoteRef/>
      </w:r>
      <w:r>
        <w:t xml:space="preserve"> nařízení kraje Vysočina č. 2/2003 ze dne 20.5.2003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D656FC"/>
    <w:multiLevelType w:val="multilevel"/>
    <w:tmpl w:val="B34E6818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50499"/>
    <w:multiLevelType w:val="hybridMultilevel"/>
    <w:tmpl w:val="ECEE173A"/>
    <w:lvl w:ilvl="0" w:tplc="77A0DB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2CBDE"/>
    <w:multiLevelType w:val="multilevel"/>
    <w:tmpl w:val="2FD0C5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04C6F"/>
    <w:multiLevelType w:val="hybridMultilevel"/>
    <w:tmpl w:val="F1B65DD6"/>
    <w:lvl w:ilvl="0" w:tplc="139ED25E">
      <w:start w:val="1"/>
      <w:numFmt w:val="decimal"/>
      <w:lvlText w:val="(%1)"/>
      <w:lvlJc w:val="left"/>
      <w:pPr>
        <w:ind w:left="8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50916">
    <w:abstractNumId w:val="18"/>
  </w:num>
  <w:num w:numId="2" w16cid:durableId="1719739589">
    <w:abstractNumId w:val="47"/>
  </w:num>
  <w:num w:numId="3" w16cid:durableId="1421180483">
    <w:abstractNumId w:val="7"/>
  </w:num>
  <w:num w:numId="4" w16cid:durableId="894194333">
    <w:abstractNumId w:val="35"/>
  </w:num>
  <w:num w:numId="5" w16cid:durableId="1091969377">
    <w:abstractNumId w:val="34"/>
  </w:num>
  <w:num w:numId="6" w16cid:durableId="1832942207">
    <w:abstractNumId w:val="38"/>
  </w:num>
  <w:num w:numId="7" w16cid:durableId="77022382">
    <w:abstractNumId w:val="21"/>
  </w:num>
  <w:num w:numId="8" w16cid:durableId="750664433">
    <w:abstractNumId w:val="2"/>
  </w:num>
  <w:num w:numId="9" w16cid:durableId="276910828">
    <w:abstractNumId w:val="37"/>
  </w:num>
  <w:num w:numId="10" w16cid:durableId="1638533208">
    <w:abstractNumId w:val="3"/>
  </w:num>
  <w:num w:numId="11" w16cid:durableId="644968840">
    <w:abstractNumId w:val="23"/>
  </w:num>
  <w:num w:numId="12" w16cid:durableId="741875719">
    <w:abstractNumId w:val="11"/>
  </w:num>
  <w:num w:numId="13" w16cid:durableId="1976058521">
    <w:abstractNumId w:val="16"/>
  </w:num>
  <w:num w:numId="14" w16cid:durableId="614875227">
    <w:abstractNumId w:val="20"/>
  </w:num>
  <w:num w:numId="15" w16cid:durableId="792946565">
    <w:abstractNumId w:val="41"/>
  </w:num>
  <w:num w:numId="16" w16cid:durableId="140776431">
    <w:abstractNumId w:val="46"/>
  </w:num>
  <w:num w:numId="17" w16cid:durableId="723869036">
    <w:abstractNumId w:val="25"/>
  </w:num>
  <w:num w:numId="18" w16cid:durableId="1130173491">
    <w:abstractNumId w:val="33"/>
  </w:num>
  <w:num w:numId="19" w16cid:durableId="526262829">
    <w:abstractNumId w:val="48"/>
  </w:num>
  <w:num w:numId="20" w16cid:durableId="467012773">
    <w:abstractNumId w:val="31"/>
  </w:num>
  <w:num w:numId="21" w16cid:durableId="8727517">
    <w:abstractNumId w:val="36"/>
  </w:num>
  <w:num w:numId="22" w16cid:durableId="1403680248">
    <w:abstractNumId w:val="40"/>
  </w:num>
  <w:num w:numId="23" w16cid:durableId="1774470530">
    <w:abstractNumId w:val="32"/>
  </w:num>
  <w:num w:numId="24" w16cid:durableId="59253373">
    <w:abstractNumId w:val="1"/>
  </w:num>
  <w:num w:numId="25" w16cid:durableId="958299082">
    <w:abstractNumId w:val="42"/>
  </w:num>
  <w:num w:numId="26" w16cid:durableId="1619986866">
    <w:abstractNumId w:val="45"/>
  </w:num>
  <w:num w:numId="27" w16cid:durableId="1516505051">
    <w:abstractNumId w:val="13"/>
  </w:num>
  <w:num w:numId="28" w16cid:durableId="28919311">
    <w:abstractNumId w:val="17"/>
  </w:num>
  <w:num w:numId="29" w16cid:durableId="440687596">
    <w:abstractNumId w:val="39"/>
  </w:num>
  <w:num w:numId="30" w16cid:durableId="956328817">
    <w:abstractNumId w:val="27"/>
  </w:num>
  <w:num w:numId="31" w16cid:durableId="573665148">
    <w:abstractNumId w:val="26"/>
  </w:num>
  <w:num w:numId="32" w16cid:durableId="7870772">
    <w:abstractNumId w:val="15"/>
  </w:num>
  <w:num w:numId="33" w16cid:durableId="1679962097">
    <w:abstractNumId w:val="19"/>
  </w:num>
  <w:num w:numId="34" w16cid:durableId="1296519739">
    <w:abstractNumId w:val="4"/>
  </w:num>
  <w:num w:numId="35" w16cid:durableId="257564541">
    <w:abstractNumId w:val="6"/>
  </w:num>
  <w:num w:numId="36" w16cid:durableId="1999727613">
    <w:abstractNumId w:val="43"/>
  </w:num>
  <w:num w:numId="37" w16cid:durableId="1218324750">
    <w:abstractNumId w:val="22"/>
  </w:num>
  <w:num w:numId="38" w16cid:durableId="1716419905">
    <w:abstractNumId w:val="5"/>
  </w:num>
  <w:num w:numId="39" w16cid:durableId="1807355752">
    <w:abstractNumId w:val="14"/>
  </w:num>
  <w:num w:numId="40" w16cid:durableId="2051420277">
    <w:abstractNumId w:val="24"/>
  </w:num>
  <w:num w:numId="41" w16cid:durableId="387268967">
    <w:abstractNumId w:val="28"/>
  </w:num>
  <w:num w:numId="42" w16cid:durableId="960651932">
    <w:abstractNumId w:val="0"/>
  </w:num>
  <w:num w:numId="43" w16cid:durableId="785587363">
    <w:abstractNumId w:val="44"/>
  </w:num>
  <w:num w:numId="44" w16cid:durableId="2047366606">
    <w:abstractNumId w:val="29"/>
  </w:num>
  <w:num w:numId="45" w16cid:durableId="553277271">
    <w:abstractNumId w:val="9"/>
  </w:num>
  <w:num w:numId="46" w16cid:durableId="1931087051">
    <w:abstractNumId w:val="10"/>
  </w:num>
  <w:num w:numId="47" w16cid:durableId="19934102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2704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98507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133567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8442F"/>
    <w:rsid w:val="000A192D"/>
    <w:rsid w:val="000C01AD"/>
    <w:rsid w:val="000E3719"/>
    <w:rsid w:val="001132F1"/>
    <w:rsid w:val="001165F4"/>
    <w:rsid w:val="0012754B"/>
    <w:rsid w:val="0015446F"/>
    <w:rsid w:val="00167FA5"/>
    <w:rsid w:val="00176F5A"/>
    <w:rsid w:val="001908F6"/>
    <w:rsid w:val="00192610"/>
    <w:rsid w:val="001A7CFD"/>
    <w:rsid w:val="001D0B27"/>
    <w:rsid w:val="001E2224"/>
    <w:rsid w:val="001E338F"/>
    <w:rsid w:val="00212C35"/>
    <w:rsid w:val="00213118"/>
    <w:rsid w:val="00224B0D"/>
    <w:rsid w:val="00240E34"/>
    <w:rsid w:val="0024722A"/>
    <w:rsid w:val="00264860"/>
    <w:rsid w:val="002B3198"/>
    <w:rsid w:val="002D539B"/>
    <w:rsid w:val="002F1F16"/>
    <w:rsid w:val="00314D04"/>
    <w:rsid w:val="00380BCE"/>
    <w:rsid w:val="00390E1C"/>
    <w:rsid w:val="003B12D9"/>
    <w:rsid w:val="003C073A"/>
    <w:rsid w:val="003E454A"/>
    <w:rsid w:val="003F322E"/>
    <w:rsid w:val="003F468D"/>
    <w:rsid w:val="00402B2C"/>
    <w:rsid w:val="004154AF"/>
    <w:rsid w:val="00417A6A"/>
    <w:rsid w:val="00417E18"/>
    <w:rsid w:val="004224B6"/>
    <w:rsid w:val="004230FA"/>
    <w:rsid w:val="004519A2"/>
    <w:rsid w:val="004602FC"/>
    <w:rsid w:val="00470C68"/>
    <w:rsid w:val="00474A50"/>
    <w:rsid w:val="00477C4B"/>
    <w:rsid w:val="00484E0D"/>
    <w:rsid w:val="00485025"/>
    <w:rsid w:val="004C7B1E"/>
    <w:rsid w:val="004E7BA8"/>
    <w:rsid w:val="00504864"/>
    <w:rsid w:val="00506910"/>
    <w:rsid w:val="00513323"/>
    <w:rsid w:val="00533F5B"/>
    <w:rsid w:val="0053732C"/>
    <w:rsid w:val="0054059F"/>
    <w:rsid w:val="005827D5"/>
    <w:rsid w:val="00595B01"/>
    <w:rsid w:val="005B6A9F"/>
    <w:rsid w:val="005D3312"/>
    <w:rsid w:val="006026C5"/>
    <w:rsid w:val="00611EA3"/>
    <w:rsid w:val="00614F22"/>
    <w:rsid w:val="00617BDE"/>
    <w:rsid w:val="006236A6"/>
    <w:rsid w:val="0062451D"/>
    <w:rsid w:val="00630470"/>
    <w:rsid w:val="00637E4C"/>
    <w:rsid w:val="00641107"/>
    <w:rsid w:val="0064245C"/>
    <w:rsid w:val="0064656B"/>
    <w:rsid w:val="00662877"/>
    <w:rsid w:val="00663A3F"/>
    <w:rsid w:val="006647CE"/>
    <w:rsid w:val="00685B10"/>
    <w:rsid w:val="006863A2"/>
    <w:rsid w:val="00686504"/>
    <w:rsid w:val="00696A6B"/>
    <w:rsid w:val="006A062D"/>
    <w:rsid w:val="006A5547"/>
    <w:rsid w:val="006B0AAB"/>
    <w:rsid w:val="006B7752"/>
    <w:rsid w:val="006C2361"/>
    <w:rsid w:val="006F76D2"/>
    <w:rsid w:val="00700792"/>
    <w:rsid w:val="0070306C"/>
    <w:rsid w:val="007057EF"/>
    <w:rsid w:val="00706D42"/>
    <w:rsid w:val="00714D24"/>
    <w:rsid w:val="0072122F"/>
    <w:rsid w:val="0072254B"/>
    <w:rsid w:val="00725357"/>
    <w:rsid w:val="00740C49"/>
    <w:rsid w:val="00744A2D"/>
    <w:rsid w:val="007551A4"/>
    <w:rsid w:val="007552E2"/>
    <w:rsid w:val="00771BD5"/>
    <w:rsid w:val="00774261"/>
    <w:rsid w:val="007D1FDC"/>
    <w:rsid w:val="007E1DB2"/>
    <w:rsid w:val="007E2509"/>
    <w:rsid w:val="00804441"/>
    <w:rsid w:val="00805957"/>
    <w:rsid w:val="00813C7C"/>
    <w:rsid w:val="00823768"/>
    <w:rsid w:val="008335F5"/>
    <w:rsid w:val="008524BB"/>
    <w:rsid w:val="00871053"/>
    <w:rsid w:val="00876251"/>
    <w:rsid w:val="008B4D2C"/>
    <w:rsid w:val="008B5E32"/>
    <w:rsid w:val="008B7348"/>
    <w:rsid w:val="008C0752"/>
    <w:rsid w:val="008C7339"/>
    <w:rsid w:val="008E4B43"/>
    <w:rsid w:val="008F0540"/>
    <w:rsid w:val="008F28C3"/>
    <w:rsid w:val="009267E6"/>
    <w:rsid w:val="009343D8"/>
    <w:rsid w:val="00937FA4"/>
    <w:rsid w:val="0094420F"/>
    <w:rsid w:val="0094501D"/>
    <w:rsid w:val="00947A8B"/>
    <w:rsid w:val="0095368E"/>
    <w:rsid w:val="00964068"/>
    <w:rsid w:val="009654AC"/>
    <w:rsid w:val="009662E7"/>
    <w:rsid w:val="0096656C"/>
    <w:rsid w:val="00966E6A"/>
    <w:rsid w:val="00995F18"/>
    <w:rsid w:val="00996021"/>
    <w:rsid w:val="009A3B45"/>
    <w:rsid w:val="009B06AB"/>
    <w:rsid w:val="009B33F1"/>
    <w:rsid w:val="009D0968"/>
    <w:rsid w:val="009D1880"/>
    <w:rsid w:val="009F500A"/>
    <w:rsid w:val="00A30821"/>
    <w:rsid w:val="00A32ABE"/>
    <w:rsid w:val="00A618D1"/>
    <w:rsid w:val="00A62621"/>
    <w:rsid w:val="00A943DB"/>
    <w:rsid w:val="00A97662"/>
    <w:rsid w:val="00AA2424"/>
    <w:rsid w:val="00AA71D0"/>
    <w:rsid w:val="00AB3845"/>
    <w:rsid w:val="00AB72E6"/>
    <w:rsid w:val="00AB77EC"/>
    <w:rsid w:val="00AC1E54"/>
    <w:rsid w:val="00AD1EB1"/>
    <w:rsid w:val="00B0386E"/>
    <w:rsid w:val="00B04E79"/>
    <w:rsid w:val="00B17D11"/>
    <w:rsid w:val="00B20050"/>
    <w:rsid w:val="00B2513F"/>
    <w:rsid w:val="00B26438"/>
    <w:rsid w:val="00B53243"/>
    <w:rsid w:val="00B7405B"/>
    <w:rsid w:val="00B824A0"/>
    <w:rsid w:val="00B8276E"/>
    <w:rsid w:val="00B85E70"/>
    <w:rsid w:val="00B940A8"/>
    <w:rsid w:val="00BB5A2B"/>
    <w:rsid w:val="00BD5CAA"/>
    <w:rsid w:val="00C0218D"/>
    <w:rsid w:val="00C02FFD"/>
    <w:rsid w:val="00C032C9"/>
    <w:rsid w:val="00C1273A"/>
    <w:rsid w:val="00C20E68"/>
    <w:rsid w:val="00C3598B"/>
    <w:rsid w:val="00C82D9F"/>
    <w:rsid w:val="00C84C21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B13AF"/>
    <w:rsid w:val="00DF2532"/>
    <w:rsid w:val="00E122C4"/>
    <w:rsid w:val="00E2316D"/>
    <w:rsid w:val="00E27608"/>
    <w:rsid w:val="00E31920"/>
    <w:rsid w:val="00E8161B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552C3"/>
    <w:rsid w:val="00F64363"/>
    <w:rsid w:val="00F75786"/>
    <w:rsid w:val="00F974DF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932E2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4B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224B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4B6"/>
    <w:rPr>
      <w:b/>
      <w:bCs/>
    </w:rPr>
  </w:style>
  <w:style w:type="paragraph" w:styleId="Revize">
    <w:name w:val="Revision"/>
    <w:hidden/>
    <w:uiPriority w:val="99"/>
    <w:semiHidden/>
    <w:rsid w:val="004224B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618D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618D1"/>
    <w:rPr>
      <w:rFonts w:ascii="Courier New" w:hAnsi="Courier New" w:cs="Courier New"/>
    </w:rPr>
  </w:style>
  <w:style w:type="character" w:customStyle="1" w:styleId="Nadpis2Char">
    <w:name w:val="Nadpis 2 Char"/>
    <w:basedOn w:val="Standardnpsmoodstavce"/>
    <w:link w:val="Nadpis2"/>
    <w:rsid w:val="0072254B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F6FC-2DAA-47BE-8E6C-DFB630AB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6</Pages>
  <Words>1193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HorniSmrcne</cp:lastModifiedBy>
  <cp:revision>49</cp:revision>
  <cp:lastPrinted>2018-02-01T10:14:00Z</cp:lastPrinted>
  <dcterms:created xsi:type="dcterms:W3CDTF">2022-04-25T06:50:00Z</dcterms:created>
  <dcterms:modified xsi:type="dcterms:W3CDTF">2025-05-15T14:08:00Z</dcterms:modified>
</cp:coreProperties>
</file>