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998" w:rsidRDefault="00D8139A">
      <w:pPr>
        <w:jc w:val="center"/>
        <w:rPr>
          <w:rFonts w:eastAsia="Arial Unicode MS"/>
          <w:b/>
          <w:bCs/>
          <w:sz w:val="28"/>
          <w:szCs w:val="20"/>
        </w:rPr>
      </w:pPr>
      <w:bookmarkStart w:id="0" w:name="_GoBack"/>
      <w:bookmarkEnd w:id="0"/>
      <w:r>
        <w:rPr>
          <w:b/>
          <w:bCs/>
          <w:sz w:val="28"/>
          <w:szCs w:val="20"/>
        </w:rPr>
        <w:t>Vyhláška statutárního města Plzně č. 10/2006</w:t>
      </w:r>
    </w:p>
    <w:p w:rsidR="00787998" w:rsidRDefault="00D8139A">
      <w:pPr>
        <w:jc w:val="center"/>
      </w:pPr>
      <w:r>
        <w:rPr>
          <w:b/>
          <w:bCs/>
          <w:sz w:val="28"/>
          <w:szCs w:val="20"/>
        </w:rPr>
        <w:t>o vymezení veřejných prostranství, na nichž se zakazuje žebrání</w:t>
      </w:r>
    </w:p>
    <w:p w:rsidR="00787998" w:rsidRDefault="00D8139A">
      <w:r>
        <w:t> </w:t>
      </w:r>
    </w:p>
    <w:p w:rsidR="00787998" w:rsidRDefault="00D8139A">
      <w:pPr>
        <w:pStyle w:val="Zkladntext2"/>
        <w:spacing w:before="0" w:beforeAutospacing="0" w:after="0" w:afterAutospacing="0"/>
      </w:pPr>
      <w:r>
        <w:tab/>
        <w:t xml:space="preserve">Zastupitelstvo města Plzně se svým usnesením č. 361 ze dne 22. června 2006 usneslo vydat podle čl. 104 odst. 3 Ústavy České republiky č. 1/1993 Sb. a v souladu s § 10 písm. </w:t>
      </w:r>
      <w:proofErr w:type="gramStart"/>
      <w:r>
        <w:t>a)  zákona</w:t>
      </w:r>
      <w:proofErr w:type="gramEnd"/>
      <w:r>
        <w:t xml:space="preserve"> č. 128/2000 Sb., o obcích, v platném znění, tuto</w:t>
      </w:r>
    </w:p>
    <w:p w:rsidR="00787998" w:rsidRDefault="00D8139A">
      <w:r>
        <w:t> </w:t>
      </w:r>
    </w:p>
    <w:p w:rsidR="00787998" w:rsidRDefault="00D8139A">
      <w:pPr>
        <w:jc w:val="center"/>
      </w:pPr>
      <w:r>
        <w:t>obecně závaznou vyhlášku:</w:t>
      </w:r>
    </w:p>
    <w:p w:rsidR="00787998" w:rsidRDefault="00D8139A">
      <w:r>
        <w:t> </w:t>
      </w:r>
    </w:p>
    <w:p w:rsidR="00787998" w:rsidRDefault="00D8139A">
      <w:r>
        <w:t> </w:t>
      </w:r>
    </w:p>
    <w:p w:rsidR="00787998" w:rsidRDefault="00D8139A">
      <w:pPr>
        <w:pStyle w:val="Nadpis2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Čl. 1</w:t>
      </w:r>
    </w:p>
    <w:p w:rsidR="00787998" w:rsidRDefault="00D8139A">
      <w:pPr>
        <w:rPr>
          <w:snapToGrid w:val="0"/>
        </w:rPr>
      </w:pPr>
      <w:r>
        <w:rPr>
          <w:snapToGrid w:val="0"/>
        </w:rPr>
        <w:t> </w:t>
      </w:r>
    </w:p>
    <w:p w:rsidR="00787998" w:rsidRDefault="00D8139A">
      <w:pPr>
        <w:pStyle w:val="Zkladntext2"/>
        <w:spacing w:before="0" w:beforeAutospacing="0" w:after="0" w:afterAutospacing="0"/>
        <w:rPr>
          <w:snapToGrid w:val="0"/>
        </w:rPr>
      </w:pPr>
      <w:r>
        <w:rPr>
          <w:snapToGrid w:val="0"/>
        </w:rPr>
        <w:t>Žebrání se zakazuje na níže uvedených veřejných prostranstvích</w:t>
      </w:r>
      <w:r>
        <w:rPr>
          <w:rStyle w:val="Znakapoznpodarou"/>
          <w:snapToGrid w:val="0"/>
        </w:rPr>
        <w:footnoteReference w:id="1"/>
      </w:r>
      <w:r>
        <w:rPr>
          <w:rStyle w:val="Znakapoznpodarou"/>
          <w:snapToGrid w:val="0"/>
        </w:rPr>
        <w:t>[1]</w:t>
      </w:r>
      <w:r>
        <w:rPr>
          <w:snapToGrid w:val="0"/>
        </w:rPr>
        <w:t xml:space="preserve"> na území města Plzně:</w:t>
      </w:r>
    </w:p>
    <w:p w:rsidR="00787998" w:rsidRDefault="00D8139A">
      <w:pPr>
        <w:pStyle w:val="Zkladntext2"/>
        <w:spacing w:before="0" w:beforeAutospacing="0" w:after="0" w:afterAutospacing="0"/>
        <w:rPr>
          <w:snapToGrid w:val="0"/>
        </w:rPr>
      </w:pPr>
      <w:r>
        <w:rPr>
          <w:snapToGrid w:val="0"/>
        </w:rPr>
        <w:t> </w:t>
      </w:r>
    </w:p>
    <w:p w:rsidR="00787998" w:rsidRDefault="00D8139A">
      <w:pPr>
        <w:ind w:left="660"/>
        <w:jc w:val="both"/>
        <w:rPr>
          <w:snapToGrid w:val="0"/>
        </w:rPr>
      </w:pPr>
      <w:r>
        <w:rPr>
          <w:snapToGrid w:val="0"/>
        </w:rPr>
        <w:t> </w:t>
      </w:r>
    </w:p>
    <w:p w:rsidR="00787998" w:rsidRDefault="00D8139A">
      <w:pPr>
        <w:tabs>
          <w:tab w:val="num" w:pos="1020"/>
        </w:tabs>
        <w:ind w:left="1020" w:hanging="360"/>
        <w:jc w:val="both"/>
      </w:pPr>
      <w:r>
        <w:t>a)</w:t>
      </w:r>
      <w:r>
        <w:rPr>
          <w:sz w:val="14"/>
          <w:szCs w:val="14"/>
        </w:rPr>
        <w:t xml:space="preserve">      </w:t>
      </w:r>
      <w:r>
        <w:t>u mateřských, základních, středních, vysokých a základních uměleckých škol a v okruhu 50 metrů od nich,</w:t>
      </w:r>
    </w:p>
    <w:p w:rsidR="00787998" w:rsidRDefault="00D8139A">
      <w:pPr>
        <w:tabs>
          <w:tab w:val="num" w:pos="1020"/>
        </w:tabs>
        <w:ind w:left="1020" w:hanging="360"/>
        <w:jc w:val="both"/>
      </w:pPr>
      <w:r>
        <w:t>b)</w:t>
      </w:r>
      <w:r>
        <w:rPr>
          <w:sz w:val="14"/>
          <w:szCs w:val="14"/>
        </w:rPr>
        <w:t xml:space="preserve">      </w:t>
      </w:r>
      <w:r>
        <w:t>u hřbitovů a kostelů a v okolí 50 m od nich,</w:t>
      </w:r>
    </w:p>
    <w:p w:rsidR="00787998" w:rsidRDefault="00D8139A">
      <w:pPr>
        <w:tabs>
          <w:tab w:val="num" w:pos="1020"/>
        </w:tabs>
        <w:ind w:left="1020" w:hanging="360"/>
        <w:jc w:val="both"/>
      </w:pPr>
      <w:r>
        <w:t>c)</w:t>
      </w:r>
      <w:r>
        <w:rPr>
          <w:sz w:val="14"/>
          <w:szCs w:val="14"/>
        </w:rPr>
        <w:t xml:space="preserve">      </w:t>
      </w:r>
      <w:r>
        <w:t>na veřejných prostranstvích na území města Plzně uvedených v příloze č. 1 této obecně závazné vyhlášky.</w:t>
      </w:r>
    </w:p>
    <w:p w:rsidR="00787998" w:rsidRDefault="00D8139A">
      <w:pPr>
        <w:jc w:val="center"/>
        <w:rPr>
          <w:b/>
          <w:bCs/>
        </w:rPr>
      </w:pPr>
      <w:r>
        <w:rPr>
          <w:b/>
          <w:bCs/>
        </w:rPr>
        <w:t> </w:t>
      </w:r>
    </w:p>
    <w:p w:rsidR="00787998" w:rsidRDefault="00D8139A">
      <w:pPr>
        <w:pStyle w:val="Nadpis2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Čl. 2</w:t>
      </w:r>
    </w:p>
    <w:p w:rsidR="00787998" w:rsidRDefault="00D8139A">
      <w:r>
        <w:t> </w:t>
      </w:r>
    </w:p>
    <w:p w:rsidR="00787998" w:rsidRDefault="00D8139A">
      <w:pPr>
        <w:jc w:val="both"/>
      </w:pPr>
      <w:r>
        <w:t>(1)</w:t>
      </w:r>
      <w:r>
        <w:tab/>
        <w:t>Porušení zákazu touto vyhláškou stanoveného se postihuje podle zvláštních předpisů</w:t>
      </w:r>
      <w:r>
        <w:rPr>
          <w:rStyle w:val="Znakapoznpodarou"/>
        </w:rPr>
        <w:footnoteReference w:id="2"/>
      </w:r>
      <w:r>
        <w:rPr>
          <w:rStyle w:val="Znakapoznpodarou"/>
        </w:rPr>
        <w:t>[2]</w:t>
      </w:r>
      <w:r>
        <w:t xml:space="preserve">. </w:t>
      </w:r>
    </w:p>
    <w:p w:rsidR="00787998" w:rsidRDefault="00D8139A">
      <w:pPr>
        <w:pStyle w:val="Zkladntext2"/>
        <w:spacing w:before="0" w:beforeAutospacing="0" w:after="0" w:afterAutospacing="0"/>
      </w:pPr>
      <w:r>
        <w:t>(2)</w:t>
      </w:r>
      <w:r>
        <w:tab/>
        <w:t>Tato vyhláška nabývá účinnosti 1. srpna 2006.</w:t>
      </w:r>
    </w:p>
    <w:p w:rsidR="00787998" w:rsidRDefault="00D8139A">
      <w:r>
        <w:t xml:space="preserve"> </w:t>
      </w:r>
    </w:p>
    <w:p w:rsidR="00787998" w:rsidRDefault="00D8139A">
      <w:r>
        <w:t> </w:t>
      </w:r>
    </w:p>
    <w:p w:rsidR="00787998" w:rsidRDefault="00D8139A">
      <w:r>
        <w:t> </w:t>
      </w:r>
    </w:p>
    <w:p w:rsidR="00787998" w:rsidRDefault="00D8139A">
      <w:r>
        <w:t> </w:t>
      </w:r>
    </w:p>
    <w:p w:rsidR="00787998" w:rsidRDefault="00D8139A">
      <w:r>
        <w:t> </w:t>
      </w:r>
    </w:p>
    <w:p w:rsidR="00787998" w:rsidRDefault="00D8139A">
      <w:r>
        <w:t>Ing. Miroslav Kalous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Ing. Petr Náhlík</w:t>
      </w:r>
    </w:p>
    <w:p w:rsidR="00787998" w:rsidRDefault="00D8139A">
      <w:pPr>
        <w:rPr>
          <w:i/>
        </w:rPr>
      </w:pPr>
      <w:r>
        <w:rPr>
          <w:i/>
        </w:rPr>
        <w:t xml:space="preserve">    primátor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ab/>
        <w:t xml:space="preserve">  náměstek</w:t>
      </w:r>
      <w:proofErr w:type="gramEnd"/>
      <w:r>
        <w:rPr>
          <w:i/>
        </w:rPr>
        <w:t xml:space="preserve"> primátora</w:t>
      </w:r>
    </w:p>
    <w:p w:rsidR="00787998" w:rsidRDefault="00D8139A">
      <w:r>
        <w:t> </w:t>
      </w:r>
    </w:p>
    <w:p w:rsidR="00787998" w:rsidRDefault="00D8139A">
      <w:pPr>
        <w:pStyle w:val="textdopisunormal"/>
        <w:spacing w:before="120" w:beforeAutospacing="0" w:after="0" w:afterAutospacing="0"/>
      </w:pPr>
      <w:r>
        <w:t> </w:t>
      </w:r>
    </w:p>
    <w:p w:rsidR="00787998" w:rsidRDefault="00D8139A">
      <w:r>
        <w:t> </w:t>
      </w:r>
      <w:r>
        <w:rPr>
          <w:rFonts w:eastAsia="Times New Roman"/>
        </w:rPr>
        <w:br w:type="column"/>
      </w:r>
    </w:p>
    <w:p w:rsidR="00787998" w:rsidRDefault="00D8139A">
      <w:pPr>
        <w:pStyle w:val="Normlnweb"/>
        <w:jc w:val="both"/>
        <w:rPr>
          <w:b/>
          <w:bCs/>
          <w:u w:val="single"/>
        </w:rPr>
      </w:pPr>
      <w:r>
        <w:rPr>
          <w:b/>
          <w:bCs/>
          <w:u w:val="single"/>
        </w:rPr>
        <w:t>Příloha č. 1 k obecně závazné vyhlášce č. 10/</w:t>
      </w:r>
      <w:proofErr w:type="gramStart"/>
      <w:r>
        <w:rPr>
          <w:b/>
          <w:bCs/>
          <w:u w:val="single"/>
        </w:rPr>
        <w:t>2006  o</w:t>
      </w:r>
      <w:proofErr w:type="gramEnd"/>
      <w:r>
        <w:rPr>
          <w:b/>
          <w:bCs/>
          <w:u w:val="single"/>
        </w:rPr>
        <w:t xml:space="preserve"> vymezení veřejných prostranství, na nichž se zakazuje žebrání       </w:t>
      </w:r>
    </w:p>
    <w:p w:rsidR="00787998" w:rsidRDefault="00D8139A">
      <w:pPr>
        <w:pStyle w:val="Normlnweb"/>
        <w:jc w:val="both"/>
        <w:rPr>
          <w:b/>
          <w:bCs/>
          <w:u w:val="single"/>
        </w:rPr>
      </w:pPr>
      <w:r>
        <w:rPr>
          <w:b/>
          <w:bCs/>
          <w:u w:val="single"/>
        </w:rPr>
        <w:t> </w:t>
      </w:r>
    </w:p>
    <w:p w:rsidR="00787998" w:rsidRDefault="00D8139A">
      <w:pPr>
        <w:pStyle w:val="Normlnweb"/>
        <w:rPr>
          <w:szCs w:val="20"/>
        </w:rPr>
      </w:pPr>
      <w:r>
        <w:rPr>
          <w:b/>
          <w:bCs/>
          <w:szCs w:val="20"/>
        </w:rPr>
        <w:t>Na území Městského obvodu Plzeň 1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t>V okruhu 100 metrů od níže uvedených obchodních středisek:</w:t>
      </w:r>
      <w:r>
        <w:rPr>
          <w:color w:val="000000"/>
        </w:rPr>
        <w:t xml:space="preserve">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t>Kaufland - Lochotínská</w:t>
      </w:r>
      <w:proofErr w:type="gramEnd"/>
      <w:r>
        <w:t>,</w:t>
      </w:r>
      <w:r>
        <w:rPr>
          <w:color w:val="000000"/>
        </w:rPr>
        <w:t xml:space="preserve"> 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Hypernova - Gerská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Edeka</w:t>
      </w:r>
      <w:proofErr w:type="spellEnd"/>
      <w:r>
        <w:rPr>
          <w:color w:val="000000"/>
        </w:rPr>
        <w:t xml:space="preserve"> - Gerská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Penny </w:t>
      </w:r>
      <w:proofErr w:type="gramStart"/>
      <w:r>
        <w:rPr>
          <w:color w:val="000000"/>
        </w:rPr>
        <w:t>Market - Gerská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Cs w:val="20"/>
        </w:rPr>
        <w:t xml:space="preserve">Penny </w:t>
      </w:r>
      <w:proofErr w:type="gramStart"/>
      <w:r>
        <w:rPr>
          <w:color w:val="000000"/>
          <w:szCs w:val="20"/>
        </w:rPr>
        <w:t>Market - Lidická</w:t>
      </w:r>
      <w:proofErr w:type="gramEnd"/>
      <w:r>
        <w:rPr>
          <w:color w:val="000000"/>
          <w:szCs w:val="20"/>
        </w:rPr>
        <w:t>,</w:t>
      </w:r>
      <w:r>
        <w:rPr>
          <w:color w:val="000000"/>
        </w:rPr>
        <w:t xml:space="preserve">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Družba - Alej</w:t>
      </w:r>
      <w:proofErr w:type="gramEnd"/>
      <w:r>
        <w:rPr>
          <w:color w:val="000000"/>
        </w:rPr>
        <w:t xml:space="preserve"> svobody,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Gera - Lidická</w:t>
      </w:r>
      <w:proofErr w:type="gramEnd"/>
      <w:r>
        <w:rPr>
          <w:color w:val="000000"/>
        </w:rPr>
        <w:t xml:space="preserve">, Alej svobody,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Delvita - Plaská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Delvita - Studentská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Vosta</w:t>
      </w:r>
      <w:proofErr w:type="spellEnd"/>
      <w:r>
        <w:rPr>
          <w:color w:val="000000"/>
        </w:rPr>
        <w:t xml:space="preserve"> - Lochotínská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ZKD </w:t>
      </w:r>
      <w:proofErr w:type="gramStart"/>
      <w:r>
        <w:rPr>
          <w:color w:val="000000"/>
        </w:rPr>
        <w:t>Žlutická - Žlutická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Remus - Žlutická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Nákupní středisko </w:t>
      </w:r>
      <w:proofErr w:type="gramStart"/>
      <w:r>
        <w:rPr>
          <w:color w:val="000000"/>
        </w:rPr>
        <w:t>Vinice - Brněnská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Orlík - Kaznějovská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Plzeňka - Gerská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Atom - Sokolovská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 xml:space="preserve">Globus - </w:t>
      </w:r>
      <w:proofErr w:type="spellStart"/>
      <w:r>
        <w:rPr>
          <w:color w:val="000000"/>
        </w:rPr>
        <w:t>Baumarkt</w:t>
      </w:r>
      <w:proofErr w:type="spellEnd"/>
      <w:proofErr w:type="gramEnd"/>
      <w:r>
        <w:rPr>
          <w:color w:val="000000"/>
        </w:rPr>
        <w:t xml:space="preserve"> - Studentská.  </w:t>
      </w:r>
    </w:p>
    <w:p w:rsidR="00787998" w:rsidRDefault="00D8139A">
      <w:pPr>
        <w:pStyle w:val="Normlnweb"/>
        <w:spacing w:before="0" w:beforeAutospacing="0" w:after="0" w:afterAutospacing="0"/>
        <w:jc w:val="both"/>
      </w:pPr>
      <w:r>
        <w:t> </w:t>
      </w:r>
    </w:p>
    <w:p w:rsidR="00787998" w:rsidRDefault="00D8139A">
      <w:pPr>
        <w:pStyle w:val="Nadpis1"/>
        <w:spacing w:before="0" w:beforeAutospacing="0" w:after="0" w:afterAutospacing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Na území Městského obvodu Plzeň 2– Slovany</w:t>
      </w:r>
    </w:p>
    <w:p w:rsidR="00787998" w:rsidRDefault="00D8139A">
      <w:r>
        <w:t> </w:t>
      </w:r>
    </w:p>
    <w:p w:rsidR="00787998" w:rsidRDefault="00D8139A">
      <w:pPr>
        <w:pStyle w:val="Zkladntext"/>
        <w:spacing w:before="0" w:beforeAutospacing="0" w:after="0" w:afterAutospacing="0"/>
      </w:pPr>
      <w:r>
        <w:t>V okruhu 100 metrů od níže uvedených obchodních středisek: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Albert - Koterovská</w:t>
      </w:r>
      <w:proofErr w:type="gramEnd"/>
      <w:r>
        <w:rPr>
          <w:color w:val="000000"/>
        </w:rPr>
        <w:t xml:space="preserve">, 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Penny </w:t>
      </w:r>
      <w:proofErr w:type="gramStart"/>
      <w:r>
        <w:rPr>
          <w:color w:val="000000"/>
        </w:rPr>
        <w:t>Market - Částkova</w:t>
      </w:r>
      <w:proofErr w:type="gramEnd"/>
      <w:r>
        <w:rPr>
          <w:color w:val="000000"/>
        </w:rPr>
        <w:t>,</w:t>
      </w:r>
    </w:p>
    <w:p w:rsidR="00787998" w:rsidRDefault="00D8139A">
      <w:pPr>
        <w:pStyle w:val="Normlnweb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Delvita - Papírnická</w:t>
      </w:r>
      <w:proofErr w:type="gramEnd"/>
      <w:r>
        <w:rPr>
          <w:color w:val="000000"/>
        </w:rPr>
        <w:t xml:space="preserve">. </w:t>
      </w:r>
    </w:p>
    <w:p w:rsidR="00787998" w:rsidRDefault="00D8139A">
      <w:r>
        <w:t> </w:t>
      </w:r>
    </w:p>
    <w:p w:rsidR="00787998" w:rsidRDefault="00D8139A">
      <w:r>
        <w:t>V okruhu 100 metrů od níže uvedených objektů:</w:t>
      </w:r>
    </w:p>
    <w:p w:rsidR="00787998" w:rsidRDefault="00D8139A">
      <w:pPr>
        <w:pStyle w:val="Normlnweb"/>
        <w:spacing w:before="0" w:beforeAutospacing="0" w:after="0" w:afterAutospacing="0"/>
      </w:pPr>
      <w:r>
        <w:t xml:space="preserve">Úřad městského obvodu Plzeň 2 - Slovany,  </w:t>
      </w:r>
    </w:p>
    <w:p w:rsidR="00787998" w:rsidRDefault="00D8139A">
      <w:pPr>
        <w:pStyle w:val="Normlnweb"/>
        <w:spacing w:before="0" w:beforeAutospacing="0" w:after="0" w:afterAutospacing="0"/>
      </w:pPr>
      <w:r>
        <w:t xml:space="preserve">Hlavní nádraží ČD. </w:t>
      </w:r>
    </w:p>
    <w:p w:rsidR="00787998" w:rsidRDefault="00D8139A">
      <w:pPr>
        <w:pStyle w:val="Normlnweb"/>
        <w:spacing w:before="0" w:beforeAutospacing="0" w:after="0" w:afterAutospacing="0"/>
      </w:pPr>
      <w:r>
        <w:t> </w:t>
      </w:r>
    </w:p>
    <w:p w:rsidR="00787998" w:rsidRDefault="00D8139A">
      <w:r>
        <w:t> </w:t>
      </w:r>
    </w:p>
    <w:p w:rsidR="00787998" w:rsidRDefault="00D8139A">
      <w:pPr>
        <w:pStyle w:val="Nadpis1"/>
        <w:spacing w:before="0" w:beforeAutospacing="0" w:after="0" w:afterAutospacing="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Na území Městského obvodu Plzeň 3</w:t>
      </w:r>
    </w:p>
    <w:p w:rsidR="00787998" w:rsidRDefault="00D8139A">
      <w:r>
        <w:t> </w:t>
      </w:r>
    </w:p>
    <w:p w:rsidR="00787998" w:rsidRDefault="00D8139A">
      <w:pPr>
        <w:pStyle w:val="Zkladntext"/>
        <w:spacing w:before="0" w:beforeAutospacing="0" w:after="0" w:afterAutospacing="0"/>
      </w:pPr>
      <w:r>
        <w:t>V okruhu 100 metrů od níže uvedených obchodních středisek:</w:t>
      </w:r>
    </w:p>
    <w:p w:rsidR="00787998" w:rsidRDefault="00D8139A">
      <w:pPr>
        <w:pStyle w:val="Zkladntext"/>
        <w:spacing w:before="0" w:beforeAutospacing="0" w:after="0" w:afterAutospacing="0"/>
      </w:pPr>
      <w:r>
        <w:t xml:space="preserve">Obchodní dům </w:t>
      </w:r>
      <w:proofErr w:type="gramStart"/>
      <w:r>
        <w:t>Tesco - Americká</w:t>
      </w:r>
      <w:proofErr w:type="gramEnd"/>
      <w:r>
        <w:t xml:space="preserve">,  </w:t>
      </w:r>
    </w:p>
    <w:p w:rsidR="00787998" w:rsidRDefault="00D8139A">
      <w:pPr>
        <w:rPr>
          <w:b/>
          <w:bCs/>
          <w:u w:val="single"/>
        </w:rPr>
      </w:pPr>
      <w:r>
        <w:t xml:space="preserve">Nákupní centrum Borská </w:t>
      </w:r>
      <w:proofErr w:type="gramStart"/>
      <w:r>
        <w:t>pole - U</w:t>
      </w:r>
      <w:proofErr w:type="gramEnd"/>
      <w:r>
        <w:t xml:space="preserve"> Letiště.</w:t>
      </w:r>
    </w:p>
    <w:p w:rsidR="00787998" w:rsidRDefault="00D8139A">
      <w:r>
        <w:t> </w:t>
      </w:r>
    </w:p>
    <w:p w:rsidR="00787998" w:rsidRDefault="00D8139A">
      <w:r>
        <w:t xml:space="preserve">Nám. Republiky </w:t>
      </w:r>
    </w:p>
    <w:p w:rsidR="00787998" w:rsidRDefault="00D8139A">
      <w:pPr>
        <w:pStyle w:val="Zkladntext"/>
        <w:spacing w:before="0" w:beforeAutospacing="0" w:after="0" w:afterAutospacing="0"/>
      </w:pPr>
      <w:r>
        <w:t xml:space="preserve">Kopeckého sady </w:t>
      </w:r>
    </w:p>
    <w:p w:rsidR="00787998" w:rsidRDefault="00D8139A">
      <w:pPr>
        <w:pStyle w:val="Zkladntext"/>
        <w:spacing w:before="0" w:beforeAutospacing="0" w:after="0" w:afterAutospacing="0"/>
      </w:pPr>
      <w:r>
        <w:t xml:space="preserve">Smetanovy sady </w:t>
      </w:r>
    </w:p>
    <w:p w:rsidR="00787998" w:rsidRDefault="00D8139A">
      <w:pPr>
        <w:pStyle w:val="Zkladntext"/>
        <w:spacing w:before="0" w:beforeAutospacing="0" w:after="0" w:afterAutospacing="0"/>
      </w:pPr>
      <w:r>
        <w:t>Šafaříkovy sady</w:t>
      </w:r>
    </w:p>
    <w:p w:rsidR="00787998" w:rsidRDefault="00D8139A">
      <w:pPr>
        <w:pStyle w:val="Zkladntext"/>
        <w:spacing w:before="0" w:beforeAutospacing="0" w:after="0" w:afterAutospacing="0"/>
      </w:pPr>
      <w:r>
        <w:lastRenderedPageBreak/>
        <w:t xml:space="preserve">Křižíkovy sady </w:t>
      </w:r>
    </w:p>
    <w:p w:rsidR="00787998" w:rsidRDefault="00D8139A">
      <w:pPr>
        <w:pStyle w:val="Zkladntext"/>
        <w:spacing w:before="0" w:beforeAutospacing="0" w:after="0" w:afterAutospacing="0"/>
      </w:pPr>
      <w:r>
        <w:t>Štruncovy sady</w:t>
      </w:r>
    </w:p>
    <w:p w:rsidR="00787998" w:rsidRDefault="00D8139A">
      <w:pPr>
        <w:pStyle w:val="Zkladntext"/>
        <w:spacing w:before="0" w:beforeAutospacing="0" w:after="0" w:afterAutospacing="0"/>
      </w:pPr>
      <w:r>
        <w:t>sady Pětatřicátníků</w:t>
      </w:r>
    </w:p>
    <w:p w:rsidR="00787998" w:rsidRDefault="00D8139A">
      <w:pPr>
        <w:pStyle w:val="Zkladntext"/>
        <w:spacing w:before="0" w:beforeAutospacing="0" w:after="0" w:afterAutospacing="0"/>
      </w:pPr>
      <w:r>
        <w:t>sady 5. května</w:t>
      </w:r>
    </w:p>
    <w:p w:rsidR="00787998" w:rsidRDefault="00D8139A">
      <w:r>
        <w:t>Americká třída</w:t>
      </w:r>
    </w:p>
    <w:p w:rsidR="00787998" w:rsidRDefault="00D8139A">
      <w:r>
        <w:t>Ul. B. Smetany</w:t>
      </w:r>
    </w:p>
    <w:p w:rsidR="00787998" w:rsidRDefault="00D8139A">
      <w:pPr>
        <w:pStyle w:val="Zkladntext"/>
        <w:spacing w:before="0" w:beforeAutospacing="0" w:after="0" w:afterAutospacing="0"/>
      </w:pPr>
      <w:r>
        <w:t> </w:t>
      </w:r>
    </w:p>
    <w:p w:rsidR="00787998" w:rsidRDefault="00D8139A">
      <w:pPr>
        <w:pStyle w:val="Nzev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 </w:t>
      </w:r>
    </w:p>
    <w:p w:rsidR="00787998" w:rsidRDefault="00D8139A">
      <w:pPr>
        <w:pStyle w:val="Nzev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Na území Městského obvodu Plzeň 4</w:t>
      </w:r>
    </w:p>
    <w:p w:rsidR="00787998" w:rsidRDefault="00D813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D8139A">
      <w:r>
        <w:t>V okruhu 100 metrů od níže uvedených obchodních středisek:</w:t>
      </w:r>
    </w:p>
    <w:p w:rsidR="00787998" w:rsidRDefault="00D8139A">
      <w:pPr>
        <w:pStyle w:val="Normlnweb"/>
        <w:adjustRightInd w:val="0"/>
        <w:spacing w:before="0" w:beforeAutospacing="0" w:after="0" w:afterAutospacing="0"/>
        <w:jc w:val="both"/>
      </w:pPr>
      <w:r>
        <w:t>Nákupní centrum Plzeň (Tesco) - Rokycanská,</w:t>
      </w:r>
    </w:p>
    <w:p w:rsidR="00787998" w:rsidRDefault="00D8139A">
      <w:proofErr w:type="gramStart"/>
      <w:r>
        <w:t>Billa - Sousedská</w:t>
      </w:r>
      <w:proofErr w:type="gramEnd"/>
      <w:r>
        <w:t>,</w:t>
      </w:r>
    </w:p>
    <w:p w:rsidR="00787998" w:rsidRDefault="00D8139A">
      <w:proofErr w:type="spellStart"/>
      <w:proofErr w:type="gramStart"/>
      <w:r>
        <w:t>Interspar</w:t>
      </w:r>
      <w:proofErr w:type="spellEnd"/>
      <w:r>
        <w:t xml:space="preserve"> - Rokycanská</w:t>
      </w:r>
      <w:proofErr w:type="gramEnd"/>
      <w:r>
        <w:t>,</w:t>
      </w:r>
    </w:p>
    <w:p w:rsidR="00787998" w:rsidRDefault="00D8139A">
      <w:proofErr w:type="spellStart"/>
      <w:proofErr w:type="gramStart"/>
      <w:r>
        <w:t>Baumax</w:t>
      </w:r>
      <w:proofErr w:type="spellEnd"/>
      <w:r>
        <w:t xml:space="preserve"> - Rokycanská</w:t>
      </w:r>
      <w:proofErr w:type="gramEnd"/>
      <w:r>
        <w:t>,</w:t>
      </w:r>
    </w:p>
    <w:p w:rsidR="00787998" w:rsidRDefault="00D8139A">
      <w:r>
        <w:t xml:space="preserve">OD </w:t>
      </w:r>
      <w:proofErr w:type="gramStart"/>
      <w:r>
        <w:t>Centrum - Masarykova</w:t>
      </w:r>
      <w:proofErr w:type="gramEnd"/>
      <w:r>
        <w:t>,</w:t>
      </w:r>
    </w:p>
    <w:p w:rsidR="00787998" w:rsidRDefault="00D8139A">
      <w:r>
        <w:t xml:space="preserve">Penny </w:t>
      </w:r>
      <w:proofErr w:type="gramStart"/>
      <w:r>
        <w:t>Market - Zábělská</w:t>
      </w:r>
      <w:proofErr w:type="gramEnd"/>
      <w:r>
        <w:t>,</w:t>
      </w:r>
    </w:p>
    <w:p w:rsidR="00787998" w:rsidRDefault="00D8139A">
      <w:proofErr w:type="gramStart"/>
      <w:r>
        <w:t>Astra - Dlouhá</w:t>
      </w:r>
      <w:proofErr w:type="gramEnd"/>
      <w:r>
        <w:t>,</w:t>
      </w:r>
    </w:p>
    <w:p w:rsidR="00787998" w:rsidRDefault="00D8139A">
      <w:proofErr w:type="gramStart"/>
      <w:r>
        <w:t>Norma - Na</w:t>
      </w:r>
      <w:proofErr w:type="gramEnd"/>
      <w:r>
        <w:t xml:space="preserve"> Dlouhých.</w:t>
      </w:r>
    </w:p>
    <w:p w:rsidR="00787998" w:rsidRDefault="00D8139A">
      <w:pPr>
        <w:adjustRightInd w:val="0"/>
      </w:pPr>
      <w:r>
        <w:t> </w:t>
      </w:r>
    </w:p>
    <w:p w:rsidR="00787998" w:rsidRDefault="00D8139A">
      <w:pPr>
        <w:adjustRightInd w:val="0"/>
      </w:pPr>
      <w:r>
        <w:t>V okruhu 100 metrů od níže uvedených objektů:</w:t>
      </w:r>
    </w:p>
    <w:p w:rsidR="00787998" w:rsidRDefault="00D8139A">
      <w:pPr>
        <w:adjustRightInd w:val="0"/>
      </w:pPr>
      <w:r>
        <w:t xml:space="preserve">Divadlo Alfa, </w:t>
      </w:r>
    </w:p>
    <w:p w:rsidR="00787998" w:rsidRDefault="00D8139A">
      <w:pPr>
        <w:adjustRightInd w:val="0"/>
      </w:pPr>
      <w:proofErr w:type="spellStart"/>
      <w:r>
        <w:t>Selesiánské</w:t>
      </w:r>
      <w:proofErr w:type="spellEnd"/>
      <w:r>
        <w:t xml:space="preserve"> středisko.</w:t>
      </w:r>
    </w:p>
    <w:p w:rsidR="00787998" w:rsidRDefault="00D813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D8139A">
      <w:pPr>
        <w:jc w:val="both"/>
      </w:pPr>
      <w:r>
        <w:t xml:space="preserve">Rokycanská třída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D8139A">
      <w:pPr>
        <w:jc w:val="both"/>
      </w:pPr>
      <w:r>
        <w:t>Masarykova třída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D8139A">
      <w:pPr>
        <w:jc w:val="both"/>
      </w:pPr>
      <w:r>
        <w:t>Těšínská ulice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D8139A">
      <w:pPr>
        <w:jc w:val="both"/>
      </w:pPr>
      <w:r>
        <w:t>Dlouhá</w:t>
      </w:r>
      <w:r>
        <w:tab/>
        <w:t>ulice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D8139A">
      <w:pPr>
        <w:jc w:val="both"/>
      </w:pPr>
      <w:r>
        <w:t>Zábělská ulice (v úseku od prodejny M.A.T. k Dílenské ul.)</w:t>
      </w:r>
      <w:r>
        <w:tab/>
      </w:r>
      <w:r>
        <w:tab/>
      </w:r>
      <w:r>
        <w:tab/>
      </w:r>
      <w:r>
        <w:tab/>
      </w:r>
    </w:p>
    <w:p w:rsidR="00787998" w:rsidRDefault="00D8139A">
      <w:pPr>
        <w:jc w:val="both"/>
        <w:rPr>
          <w:u w:val="single"/>
        </w:rPr>
      </w:pPr>
      <w:r>
        <w:t xml:space="preserve">Pěší zóna od </w:t>
      </w:r>
      <w:proofErr w:type="spellStart"/>
      <w:r>
        <w:t>OD</w:t>
      </w:r>
      <w:proofErr w:type="spellEnd"/>
      <w:r>
        <w:t xml:space="preserve"> Centrum k 22. ZŠ.</w:t>
      </w:r>
      <w:r>
        <w:tab/>
      </w:r>
    </w:p>
    <w:p w:rsidR="00787998" w:rsidRDefault="00D8139A">
      <w:pPr>
        <w:adjustRightInd w:val="0"/>
      </w:pPr>
      <w:r>
        <w:t> </w:t>
      </w:r>
    </w:p>
    <w:p w:rsidR="00572ACD" w:rsidRDefault="00D8139A" w:rsidP="00572ACD">
      <w:pPr>
        <w:jc w:val="both"/>
        <w:rPr>
          <w:rFonts w:eastAsia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98" w:rsidRDefault="00787998">
      <w:pPr>
        <w:divId w:val="31997891"/>
        <w:rPr>
          <w:rFonts w:eastAsia="Times New Roman"/>
        </w:rPr>
      </w:pPr>
    </w:p>
    <w:sectPr w:rsidR="0078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98" w:rsidRDefault="00D8139A">
      <w:r>
        <w:separator/>
      </w:r>
    </w:p>
  </w:endnote>
  <w:endnote w:type="continuationSeparator" w:id="0">
    <w:p w:rsidR="00787998" w:rsidRDefault="00D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98" w:rsidRDefault="00D8139A">
      <w:r>
        <w:separator/>
      </w:r>
    </w:p>
  </w:footnote>
  <w:footnote w:type="continuationSeparator" w:id="0">
    <w:p w:rsidR="00787998" w:rsidRDefault="00D8139A">
      <w:r>
        <w:continuationSeparator/>
      </w:r>
    </w:p>
  </w:footnote>
  <w:footnote w:id="1">
    <w:p w:rsidR="00787998" w:rsidRDefault="00D8139A">
      <w:pPr>
        <w:pStyle w:val="Textpoznpodarou"/>
        <w:spacing w:before="0" w:beforeAutospacing="0" w:after="0" w:afterAutospacing="0"/>
      </w:pPr>
      <w:r>
        <w:rPr>
          <w:rStyle w:val="Znakapoznpodarou"/>
        </w:rPr>
        <w:footnoteRef/>
      </w:r>
      <w:r>
        <w:rPr>
          <w:rStyle w:val="Znakapoznpodarou"/>
        </w:rPr>
        <w:t>[1]</w:t>
      </w:r>
      <w:r>
        <w:t xml:space="preserve"> § 34 zákona č. 128/2000 Sb., o obcích, ve znění pozdějších předpisů.</w:t>
      </w:r>
    </w:p>
  </w:footnote>
  <w:footnote w:id="2">
    <w:p w:rsidR="00787998" w:rsidRDefault="00D8139A">
      <w:pPr>
        <w:pStyle w:val="Textpoznpodarou"/>
        <w:spacing w:before="0" w:beforeAutospacing="0" w:after="0" w:afterAutospacing="0"/>
      </w:pPr>
      <w:r>
        <w:rPr>
          <w:rStyle w:val="Znakapoznpodarou"/>
        </w:rPr>
        <w:footnoteRef/>
      </w:r>
      <w:r>
        <w:rPr>
          <w:rStyle w:val="Znakapoznpodarou"/>
        </w:rPr>
        <w:t>[2]</w:t>
      </w:r>
      <w:r>
        <w:t xml:space="preserve"> Zákon č. 200/1990 Sb., o přestupcích,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9A"/>
    <w:rsid w:val="00572ACD"/>
    <w:rsid w:val="00787998"/>
    <w:rsid w:val="00D8139A"/>
    <w:rsid w:val="00E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14C140-3D43-4245-B436-CF94C8E2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eastAsiaTheme="minorEastAsia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customStyle="1" w:styleId="textdopisunormal">
    <w:name w:val="textdopisu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eastAsiaTheme="minorEastAsia"/>
      <w:sz w:val="24"/>
      <w:szCs w:val="24"/>
    </w:rPr>
  </w:style>
  <w:style w:type="paragraph" w:styleId="Nzev">
    <w:name w:val="Title"/>
    <w:basedOn w:val="Normln"/>
    <w:link w:val="NzevChar"/>
    <w:uiPriority w:val="10"/>
    <w:qFormat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2023-01-10T13:34:00Z</dcterms:created>
  <dcterms:modified xsi:type="dcterms:W3CDTF">2023-01-10T13:34:00Z</dcterms:modified>
</cp:coreProperties>
</file>