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spacing w:before="0" w:after="0"/>
        <w:rPr>
          <w:sz w:val="28"/>
          <w:szCs w:val="28"/>
        </w:rPr>
      </w:pPr>
      <w:r>
        <w:rPr>
          <w:sz w:val="28"/>
          <w:szCs w:val="28"/>
        </w:rPr>
        <w:t>Obec Jívka</w:t>
      </w:r>
    </w:p>
    <w:p>
      <w:pPr>
        <w:pStyle w:val="Nzev"/>
        <w:spacing w:before="0" w:after="0"/>
        <w:rPr>
          <w:color w:val="000000"/>
          <w:sz w:val="28"/>
          <w:szCs w:val="28"/>
        </w:rPr>
      </w:pPr>
      <w:r>
        <w:rPr>
          <w:color w:val="000000"/>
          <w:sz w:val="28"/>
          <w:szCs w:val="28"/>
        </w:rPr>
        <w:t xml:space="preserve">Zastupitelstvo obce </w:t>
      </w:r>
    </w:p>
    <w:p>
      <w:pPr>
        <w:pStyle w:val="Nzev"/>
        <w:spacing w:before="0" w:after="0"/>
        <w:rPr/>
      </w:pPr>
      <w:r>
        <w:rPr/>
        <w:drawing>
          <wp:inline distT="0" distB="0" distL="0" distR="0">
            <wp:extent cx="754380" cy="861060"/>
            <wp:effectExtent l="0" t="0" r="0" b="0"/>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tretch>
                      <a:fillRect/>
                    </a:stretch>
                  </pic:blipFill>
                  <pic:spPr bwMode="auto">
                    <a:xfrm>
                      <a:off x="0" y="0"/>
                      <a:ext cx="754380" cy="861060"/>
                    </a:xfrm>
                    <a:prstGeom prst="rect">
                      <a:avLst/>
                    </a:prstGeom>
                  </pic:spPr>
                </pic:pic>
              </a:graphicData>
            </a:graphic>
          </wp:inline>
        </w:drawing>
      </w:r>
    </w:p>
    <w:p>
      <w:pPr>
        <w:pStyle w:val="Normal"/>
        <w:spacing w:lineRule="auto" w:line="276"/>
        <w:jc w:val="center"/>
        <w:rPr>
          <w:rFonts w:ascii="Arial" w:hAnsi="Arial" w:cs="Arial"/>
          <w:b/>
          <w:b/>
        </w:rPr>
      </w:pPr>
      <w:r>
        <w:rPr>
          <w:rFonts w:cs="Arial" w:ascii="Arial" w:hAnsi="Arial"/>
          <w:b/>
        </w:rPr>
        <w:t xml:space="preserve">Obecně závazná vyhláška </w:t>
      </w:r>
    </w:p>
    <w:p>
      <w:pPr>
        <w:pStyle w:val="Normal"/>
        <w:spacing w:lineRule="auto" w:line="276"/>
        <w:jc w:val="center"/>
        <w:rPr>
          <w:rFonts w:ascii="Arial" w:hAnsi="Arial" w:cs="Arial"/>
          <w:b/>
          <w:b/>
        </w:rPr>
      </w:pPr>
      <w:r>
        <w:rPr>
          <w:rFonts w:cs="Arial" w:ascii="Arial" w:hAnsi="Arial"/>
          <w:b/>
        </w:rPr>
        <w:t>o místním poplatku ze psů</w:t>
      </w:r>
    </w:p>
    <w:p>
      <w:pPr>
        <w:pStyle w:val="Normal"/>
        <w:spacing w:lineRule="auto" w:line="276"/>
        <w:jc w:val="center"/>
        <w:rPr>
          <w:rFonts w:ascii="Arial" w:hAnsi="Arial" w:cs="Arial"/>
          <w:b/>
          <w:b/>
        </w:rPr>
      </w:pPr>
      <w:r>
        <w:rPr>
          <w:rFonts w:cs="Arial" w:ascii="Arial" w:hAnsi="Arial"/>
          <w:b/>
        </w:rPr>
      </w:r>
    </w:p>
    <w:p>
      <w:pPr>
        <w:pStyle w:val="Normal"/>
        <w:spacing w:lineRule="auto" w:line="288"/>
        <w:jc w:val="both"/>
        <w:rPr>
          <w:rFonts w:ascii="Arial" w:hAnsi="Arial" w:cs="Arial"/>
          <w:sz w:val="22"/>
          <w:szCs w:val="22"/>
        </w:rPr>
      </w:pPr>
      <w:r>
        <w:rPr>
          <w:rFonts w:cs="Arial" w:ascii="Arial" w:hAnsi="Arial"/>
          <w:sz w:val="22"/>
          <w:szCs w:val="22"/>
        </w:rPr>
        <w:t xml:space="preserve">Zastupitelstvo obce Jívka se na svém zasedání dne 30.8.2023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Obec Jívka touto vyhláškou zavádí místní poplatek ze psů (dále jen „poplatek“).</w:t>
      </w:r>
    </w:p>
    <w:p>
      <w:pPr>
        <w:pStyle w:val="Normal"/>
        <w:numPr>
          <w:ilvl w:val="0"/>
          <w:numId w:val="1"/>
        </w:numPr>
        <w:spacing w:before="120" w:after="0"/>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2"/>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Správcem poplatku je obecní úřad.</w:t>
      </w:r>
      <w:r>
        <w:rPr>
          <w:rStyle w:val="Ukotvenpoznmkypodarou"/>
          <w:rFonts w:cs="Arial" w:ascii="Arial" w:hAnsi="Arial"/>
          <w:sz w:val="22"/>
          <w:szCs w:val="22"/>
          <w:vertAlign w:val="superscript"/>
        </w:rPr>
        <w:footnoteReference w:id="3"/>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Normal"/>
        <w:numPr>
          <w:ilvl w:val="0"/>
          <w:numId w:val="4"/>
        </w:numPr>
        <w:spacing w:lineRule="auto" w:line="288" w:before="120" w:after="0"/>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t xml:space="preserve">. </w:t>
      </w:r>
      <w:r>
        <w:rPr>
          <w:rFonts w:cs="Arial" w:ascii="Arial" w:hAnsi="Arial"/>
          <w:sz w:val="22"/>
          <w:szCs w:val="22"/>
        </w:rPr>
        <w:t>Poplatek ze psů platí poplatník obci příslušné podle svého místa přihlášení nebo sídla.</w:t>
      </w:r>
      <w:r>
        <w:rPr>
          <w:rStyle w:val="Ukotvenpoznmkypodarou"/>
          <w:rFonts w:cs="Arial" w:ascii="Arial" w:hAnsi="Arial"/>
          <w:sz w:val="22"/>
          <w:szCs w:val="22"/>
          <w:vertAlign w:val="superscript"/>
        </w:rPr>
        <w:footnoteReference w:id="4"/>
      </w:r>
    </w:p>
    <w:p>
      <w:pPr>
        <w:pStyle w:val="Normal"/>
        <w:numPr>
          <w:ilvl w:val="0"/>
          <w:numId w:val="4"/>
        </w:numPr>
        <w:spacing w:lineRule="auto" w:line="288" w:before="120" w:after="0"/>
        <w:jc w:val="both"/>
        <w:rPr>
          <w:rFonts w:ascii="Arial" w:hAnsi="Arial" w:cs="Arial"/>
          <w:sz w:val="22"/>
          <w:szCs w:val="22"/>
        </w:rPr>
      </w:pPr>
      <w:r>
        <w:rPr>
          <w:rFonts w:cs="Arial" w:ascii="Arial" w:hAnsi="Arial"/>
          <w:sz w:val="22"/>
          <w:szCs w:val="22"/>
        </w:rPr>
        <w:t>Poplatek ze psů se platí ze psů starších 3 měsíců.</w:t>
      </w:r>
      <w:r>
        <w:rPr>
          <w:rStyle w:val="Ukotvenpoznmkypodarou"/>
          <w:rFonts w:cs="Arial" w:ascii="Arial" w:hAnsi="Arial"/>
          <w:sz w:val="22"/>
          <w:szCs w:val="22"/>
          <w:vertAlign w:val="superscript"/>
        </w:rPr>
        <w:footnoteReference w:id="5"/>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Ohlašovací povinnost</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cs="Arial" w:ascii="Arial" w:hAnsi="Arial"/>
          <w:sz w:val="22"/>
          <w:szCs w:val="22"/>
        </w:rPr>
        <w:t>údaje uváděné v ohlášení upravuje zákon.</w:t>
      </w:r>
      <w:bookmarkEnd w:id="0"/>
      <w:r>
        <w:rPr>
          <w:rStyle w:val="Ukotvenpoznmkypodarou"/>
          <w:rFonts w:cs="Arial" w:ascii="Arial" w:hAnsi="Arial"/>
          <w:sz w:val="22"/>
          <w:szCs w:val="22"/>
        </w:rPr>
        <w:footnoteReference w:id="6"/>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Dojde-li ke změně údajů uvedených v ohlášení, je poplatník povinen tuto změnu oznámit do 15</w:t>
      </w:r>
      <w:r>
        <w:rPr>
          <w:rFonts w:cs="Arial" w:ascii="Arial" w:hAnsi="Arial"/>
          <w:color w:val="ED7D31"/>
          <w:sz w:val="22"/>
          <w:szCs w:val="22"/>
        </w:rPr>
        <w:t xml:space="preserve"> </w:t>
      </w:r>
      <w:r>
        <w:rPr>
          <w:rFonts w:cs="Arial" w:ascii="Arial" w:hAnsi="Arial"/>
          <w:sz w:val="22"/>
          <w:szCs w:val="22"/>
        </w:rPr>
        <w:t>ode dne, kdy nastala.</w:t>
      </w:r>
      <w:r>
        <w:rPr>
          <w:rStyle w:val="Ukotvenpoznmkypodarou"/>
          <w:rFonts w:cs="Arial" w:ascii="Arial" w:hAnsi="Arial"/>
          <w:sz w:val="22"/>
          <w:szCs w:val="22"/>
        </w:rPr>
        <w:footnoteReference w:id="7"/>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Normal"/>
        <w:numPr>
          <w:ilvl w:val="0"/>
          <w:numId w:val="5"/>
        </w:numPr>
        <w:spacing w:lineRule="auto" w:line="288" w:before="120" w:after="0"/>
        <w:jc w:val="both"/>
        <w:rPr>
          <w:rFonts w:ascii="Arial" w:hAnsi="Arial" w:cs="Arial"/>
          <w:sz w:val="22"/>
          <w:szCs w:val="22"/>
        </w:rPr>
      </w:pPr>
      <w:r>
        <w:rPr>
          <w:rFonts w:cs="Arial" w:ascii="Arial" w:hAnsi="Arial"/>
          <w:sz w:val="22"/>
          <w:szCs w:val="22"/>
        </w:rPr>
        <w:t>Sazba poplatku za kalendářní rok činí:</w:t>
      </w:r>
    </w:p>
    <w:p>
      <w:pPr>
        <w:pStyle w:val="Normal"/>
        <w:numPr>
          <w:ilvl w:val="1"/>
          <w:numId w:val="5"/>
        </w:numPr>
        <w:spacing w:lineRule="auto" w:line="288" w:before="120" w:after="0"/>
        <w:jc w:val="both"/>
        <w:rPr>
          <w:rFonts w:ascii="Arial" w:hAnsi="Arial" w:cs="Arial"/>
          <w:sz w:val="22"/>
          <w:szCs w:val="22"/>
        </w:rPr>
      </w:pPr>
      <w:r>
        <w:rPr>
          <w:rFonts w:cs="Arial" w:ascii="Arial" w:hAnsi="Arial"/>
          <w:sz w:val="22"/>
          <w:szCs w:val="22"/>
        </w:rPr>
        <w:t>za prvního psa………………………………………….…………………..…</w:t>
      </w:r>
      <w:r>
        <w:rPr>
          <w:rFonts w:cs="Arial" w:ascii="Arial" w:hAnsi="Arial"/>
          <w:b/>
          <w:sz w:val="22"/>
          <w:szCs w:val="22"/>
          <w:shd w:fill="auto" w:val="clear"/>
        </w:rPr>
        <w:t>100</w:t>
      </w:r>
      <w:r>
        <w:rPr>
          <w:rFonts w:cs="Arial" w:ascii="Arial" w:hAnsi="Arial"/>
          <w:sz w:val="22"/>
          <w:szCs w:val="22"/>
          <w:shd w:fill="auto" w:val="clear"/>
        </w:rPr>
        <w:t xml:space="preserve"> Kč,</w:t>
      </w:r>
    </w:p>
    <w:p>
      <w:pPr>
        <w:pStyle w:val="Normal"/>
        <w:numPr>
          <w:ilvl w:val="1"/>
          <w:numId w:val="5"/>
        </w:numPr>
        <w:spacing w:lineRule="auto" w:line="288" w:before="120" w:after="0"/>
        <w:jc w:val="both"/>
        <w:rPr>
          <w:rFonts w:ascii="Arial" w:hAnsi="Arial" w:cs="Arial"/>
          <w:sz w:val="22"/>
          <w:szCs w:val="22"/>
        </w:rPr>
      </w:pPr>
      <w:r>
        <w:rPr>
          <w:rFonts w:cs="Arial" w:ascii="Arial" w:hAnsi="Arial"/>
          <w:sz w:val="22"/>
          <w:szCs w:val="22"/>
        </w:rPr>
        <w:t>za druhého a každého dalšího psa téhož držitele…………………………</w:t>
      </w:r>
      <w:r>
        <w:rPr>
          <w:rFonts w:cs="Arial" w:ascii="Arial" w:hAnsi="Arial"/>
          <w:b/>
          <w:sz w:val="22"/>
          <w:szCs w:val="22"/>
          <w:shd w:fill="auto" w:val="clear"/>
        </w:rPr>
        <w:t>150</w:t>
      </w:r>
      <w:r>
        <w:rPr>
          <w:rFonts w:cs="Arial" w:ascii="Arial" w:hAnsi="Arial"/>
          <w:sz w:val="22"/>
          <w:szCs w:val="22"/>
          <w:shd w:fill="auto" w:val="clear"/>
        </w:rPr>
        <w:t xml:space="preserve"> Kč.</w:t>
      </w:r>
    </w:p>
    <w:p>
      <w:pPr>
        <w:pStyle w:val="Normal"/>
        <w:numPr>
          <w:ilvl w:val="0"/>
          <w:numId w:val="5"/>
        </w:numPr>
        <w:suppressAutoHyphens w:val="true"/>
        <w:spacing w:lineRule="auto" w:line="288" w:before="120" w:after="0"/>
        <w:jc w:val="both"/>
        <w:rPr/>
      </w:pPr>
      <w:r>
        <w:rPr>
          <w:rFonts w:cs="Arial" w:ascii="Arial" w:hAnsi="Arial"/>
          <w:sz w:val="22"/>
          <w:szCs w:val="22"/>
        </w:rPr>
        <w:t>V případě trvání poplatkové povinnosti po dobu kratší než jeden rok se platí poplatek v poměrné výši, která odpovídá počtu i započatých kalendářních měsíců.</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t xml:space="preserve">Čl. 5 </w:t>
      </w:r>
    </w:p>
    <w:p>
      <w:pPr>
        <w:pStyle w:val="Nzvylnk"/>
        <w:rPr>
          <w:rFonts w:ascii="Arial" w:hAnsi="Arial" w:cs="Arial"/>
        </w:rPr>
      </w:pPr>
      <w:r>
        <w:rPr>
          <w:rFonts w:cs="Arial" w:ascii="Arial" w:hAnsi="Arial"/>
        </w:rPr>
        <w:t xml:space="preserve">Splatnost poplatku </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Poplatek je splatný nejpozději do 28. února příslušného kalendářního roku.</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w:t>
      </w:r>
    </w:p>
    <w:p>
      <w:pPr>
        <w:pStyle w:val="Normal"/>
        <w:numPr>
          <w:ilvl w:val="0"/>
          <w:numId w:val="6"/>
        </w:numPr>
        <w:suppressAutoHyphens w:val="true"/>
        <w:spacing w:lineRule="auto" w:line="264" w:before="120" w:after="0"/>
        <w:jc w:val="both"/>
        <w:rPr>
          <w:rFonts w:ascii="Arial" w:hAnsi="Arial" w:cs="Arial"/>
          <w:sz w:val="22"/>
          <w:szCs w:val="22"/>
        </w:rPr>
      </w:pPr>
      <w:r>
        <w:rPr>
          <w:rFonts w:cs="Arial" w:ascii="Arial" w:hAnsi="Arial"/>
          <w:sz w:val="22"/>
          <w:szCs w:val="22"/>
        </w:rPr>
        <w:t>Lhůta splatnosti neskončí poplatníkovi dříve než lhůta pro podání ohlášení podle čl. 3 odst. 1 této vyhlášky.</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 xml:space="preserve">Osvobození </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cs="Arial" w:ascii="Arial" w:hAnsi="Arial"/>
          <w:sz w:val="22"/>
          <w:szCs w:val="22"/>
        </w:rPr>
        <w:footnoteReference w:id="9"/>
      </w:r>
      <w:r>
        <w:rPr>
          <w:rFonts w:cs="Arial" w:ascii="Arial" w:hAnsi="Arial"/>
          <w:sz w:val="22"/>
          <w:szCs w:val="22"/>
        </w:rPr>
        <w:t>.</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V případě, že poplatník nesplní povinnost ohlásit údaj rozhodný pro osvobození ve lhůtách stanovených touto vyhláškou nebo zákonem, nárok na osvobození zaniká.</w:t>
      </w:r>
      <w:r>
        <w:rPr>
          <w:rStyle w:val="Ukotvenpoznmkypodarou"/>
          <w:rFonts w:cs="Arial" w:ascii="Arial" w:hAnsi="Arial"/>
          <w:sz w:val="22"/>
          <w:szCs w:val="22"/>
        </w:rPr>
        <w:footnoteReference w:id="10"/>
      </w:r>
    </w:p>
    <w:p>
      <w:pPr>
        <w:pStyle w:val="Slalnk"/>
        <w:spacing w:before="480" w:after="60"/>
        <w:rPr>
          <w:rFonts w:ascii="Arial" w:hAnsi="Arial" w:cs="Arial"/>
        </w:rPr>
      </w:pPr>
      <w:r>
        <w:rPr>
          <w:rFonts w:cs="Arial" w:ascii="Arial" w:hAnsi="Arial"/>
        </w:rPr>
        <w:t>Čl. 7</w:t>
      </w:r>
    </w:p>
    <w:p>
      <w:pPr>
        <w:pStyle w:val="Nzvylnk"/>
        <w:tabs>
          <w:tab w:val="clear" w:pos="708"/>
          <w:tab w:val="left" w:pos="3015" w:leader="none"/>
          <w:tab w:val="center" w:pos="4536" w:leader="none"/>
        </w:tabs>
        <w:rPr>
          <w:rFonts w:ascii="Arial" w:hAnsi="Arial" w:cs="Arial"/>
        </w:rPr>
      </w:pPr>
      <w:r>
        <w:rPr>
          <w:rFonts w:cs="Arial" w:ascii="Arial" w:hAnsi="Arial"/>
        </w:rPr>
        <w:t xml:space="preserve">Přechodné a </w:t>
      </w:r>
      <w:r>
        <w:rPr>
          <w:rFonts w:cs="Arial" w:ascii="Arial" w:hAnsi="Arial"/>
          <w:shd w:fill="auto" w:val="clear"/>
        </w:rPr>
        <w:t>zrušovací ustanovení</w:t>
      </w:r>
      <w:bookmarkStart w:id="1" w:name="_GoBack"/>
      <w:bookmarkEnd w:id="1"/>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Normal"/>
        <w:numPr>
          <w:ilvl w:val="0"/>
          <w:numId w:val="8"/>
        </w:numPr>
        <w:spacing w:lineRule="auto" w:line="288" w:before="120" w:after="0"/>
        <w:jc w:val="both"/>
        <w:rPr>
          <w:highlight w:val="none"/>
          <w:shd w:fill="auto" w:val="clear"/>
        </w:rPr>
      </w:pPr>
      <w:r>
        <w:rPr>
          <w:rFonts w:cs="Arial" w:ascii="Arial" w:hAnsi="Arial"/>
          <w:sz w:val="22"/>
          <w:szCs w:val="22"/>
          <w:shd w:fill="auto" w:val="clear"/>
        </w:rPr>
        <w:t>Ruší se obecně závazná vyhláška č. 3/2003, o místních poplatcích, ze dne 1. 1. 2004.</w:t>
      </w:r>
    </w:p>
    <w:p>
      <w:pPr>
        <w:pStyle w:val="Normal"/>
        <w:jc w:val="both"/>
        <w:rPr>
          <w:rFonts w:ascii="Arial" w:hAnsi="Arial" w:cs="Arial"/>
          <w:color w:val="ED7D31"/>
          <w:sz w:val="20"/>
          <w:u w:val="single"/>
        </w:rPr>
      </w:pPr>
      <w:r>
        <w:rPr>
          <w:rFonts w:cs="Arial" w:ascii="Arial" w:hAnsi="Arial"/>
          <w:color w:val="ED7D31"/>
          <w:sz w:val="20"/>
          <w:u w:val="single"/>
        </w:rPr>
      </w:r>
    </w:p>
    <w:p>
      <w:pPr>
        <w:pStyle w:val="Normal"/>
        <w:spacing w:lineRule="auto" w:line="288" w:before="120" w:after="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Účinnost</w:t>
      </w:r>
    </w:p>
    <w:p>
      <w:pPr>
        <w:pStyle w:val="Normal"/>
        <w:spacing w:lineRule="auto" w:line="288" w:before="120" w:after="0"/>
        <w:ind w:firstLine="709"/>
        <w:jc w:val="both"/>
        <w:rPr>
          <w:rFonts w:ascii="Arial" w:hAnsi="Arial" w:cs="Arial"/>
          <w:sz w:val="22"/>
          <w:szCs w:val="22"/>
        </w:rPr>
      </w:pPr>
      <w:r>
        <w:rPr>
          <w:rFonts w:cs="Arial" w:ascii="Arial" w:hAnsi="Arial"/>
          <w:sz w:val="22"/>
          <w:szCs w:val="22"/>
        </w:rPr>
        <w:t>Tato vyhláška nabývá účinnosti dnem 1. 1. 2024.</w:t>
      </w:r>
    </w:p>
    <w:p>
      <w:pPr>
        <w:pStyle w:val="Nzvylnk"/>
        <w:jc w:val="left"/>
        <w:rPr>
          <w:rFonts w:ascii="Arial" w:hAnsi="Arial" w:cs="Arial"/>
          <w:color w:val="0070C0"/>
        </w:rPr>
      </w:pPr>
      <w:r>
        <w:rPr>
          <w:rFonts w:cs="Arial" w:ascii="Arial" w:hAnsi="Arial"/>
          <w:color w:val="0070C0"/>
        </w:rPr>
      </w:r>
    </w:p>
    <w:p>
      <w:pPr>
        <w:pStyle w:val="Normal"/>
        <w:jc w:val="both"/>
        <w:rPr>
          <w:rFonts w:ascii="Arial" w:hAnsi="Arial" w:cs="Arial"/>
          <w:i/>
          <w:i/>
          <w:color w:val="0070C0"/>
          <w:sz w:val="20"/>
          <w:szCs w:val="20"/>
          <w:u w:val="single"/>
        </w:rPr>
      </w:pPr>
      <w:r>
        <w:rPr>
          <w:rFonts w:cs="Arial" w:ascii="Arial" w:hAnsi="Arial"/>
          <w:i/>
          <w:color w:val="0070C0"/>
          <w:sz w:val="20"/>
          <w:szCs w:val="20"/>
          <w:u w:val="single"/>
        </w:rPr>
      </w:r>
    </w:p>
    <w:p>
      <w:pPr>
        <w:pStyle w:val="Normal"/>
        <w:jc w:val="both"/>
        <w:rPr>
          <w:rFonts w:ascii="Arial" w:hAnsi="Arial" w:cs="Arial"/>
          <w:i/>
          <w:i/>
          <w:color w:val="ED7D31"/>
          <w:sz w:val="20"/>
          <w:szCs w:val="20"/>
        </w:rPr>
      </w:pPr>
      <w:r>
        <w:rPr>
          <w:rFonts w:cs="Arial" w:ascii="Arial" w:hAnsi="Arial"/>
          <w:i/>
          <w:color w:val="ED7D31"/>
          <w:sz w:val="20"/>
          <w:szCs w:val="20"/>
        </w:rPr>
      </w:r>
    </w:p>
    <w:p>
      <w:pPr>
        <w:pStyle w:val="Normal"/>
        <w:jc w:val="both"/>
        <w:rPr>
          <w:rFonts w:ascii="Arial" w:hAnsi="Arial" w:cs="Arial"/>
          <w:color w:val="ED7D31"/>
          <w:sz w:val="22"/>
          <w:szCs w:val="22"/>
        </w:rPr>
      </w:pPr>
      <w:r>
        <w:rPr>
          <w:rFonts w:cs="Arial" w:ascii="Arial" w:hAnsi="Arial"/>
          <w:color w:val="ED7D31"/>
          <w:sz w:val="22"/>
          <w:szCs w:val="22"/>
        </w:rPr>
      </w:r>
    </w:p>
    <w:p>
      <w:pPr>
        <w:pStyle w:val="Normal"/>
        <w:spacing w:lineRule="auto" w:line="288" w:before="120" w:after="0"/>
        <w:ind w:firstLine="708"/>
        <w:jc w:val="both"/>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88" w:before="0" w:after="0"/>
        <w:rPr>
          <w:rFonts w:ascii="Arial" w:hAnsi="Arial" w:cs="Arial"/>
          <w:i/>
          <w:i/>
          <w:sz w:val="22"/>
          <w:szCs w:val="22"/>
        </w:rPr>
      </w:pPr>
      <w:r>
        <w:rPr>
          <w:rFonts w:cs="Arial" w:ascii="Arial" w:hAnsi="Arial"/>
          <w:i/>
          <w:sz w:val="22"/>
          <w:szCs w:val="22"/>
        </w:rPr>
        <w:tab/>
      </w:r>
    </w:p>
    <w:p>
      <w:pPr>
        <w:pStyle w:val="Nzvylnk"/>
        <w:jc w:val="left"/>
        <w:rPr>
          <w:rFonts w:ascii="Arial" w:hAnsi="Arial" w:cs="Arial"/>
          <w:b w:val="false"/>
          <w:b w:val="false"/>
          <w:bCs w:val="false"/>
          <w:i/>
          <w:i/>
          <w:color w:val="1A4BD6"/>
          <w:szCs w:val="24"/>
        </w:rPr>
      </w:pPr>
      <w:r>
        <w:rPr>
          <w:rFonts w:cs="Arial" w:ascii="Arial" w:hAnsi="Arial"/>
          <w:i/>
          <w:sz w:val="22"/>
          <w:szCs w:val="22"/>
        </w:rPr>
        <w:tab/>
      </w:r>
    </w:p>
    <w:p>
      <w:pPr>
        <w:pStyle w:val="Normal"/>
        <w:spacing w:lineRule="auto" w:line="276"/>
        <w:jc w:val="both"/>
        <w:rPr>
          <w:rFonts w:ascii="Arial" w:hAnsi="Arial" w:cs="Arial"/>
        </w:rPr>
      </w:pPr>
      <w:r>
        <w:rPr>
          <w:rFonts w:cs="Arial" w:ascii="Arial" w:hAnsi="Arial"/>
        </w:rPr>
        <w:t>…………………………………</w:t>
      </w:r>
      <w:r>
        <w:rPr>
          <w:rFonts w:cs="Arial" w:ascii="Arial" w:hAnsi="Arial"/>
        </w:rPr>
        <w:t>..</w:t>
        <w:tab/>
        <w:tab/>
        <w:tab/>
        <w:tab/>
        <w:t>…………………………………</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rPr>
        <w:tab/>
      </w:r>
      <w:r>
        <w:rPr>
          <w:rFonts w:cs="Arial" w:ascii="Arial" w:hAnsi="Arial"/>
          <w:sz w:val="22"/>
          <w:szCs w:val="22"/>
        </w:rPr>
        <w:t>Mgr. Pavel Matějka, DiS, v. r.</w:t>
        <w:tab/>
        <w:t>Jiří Gangur v. r.</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sz w:val="22"/>
          <w:szCs w:val="22"/>
        </w:rPr>
        <w:tab/>
        <w:t xml:space="preserve">starosta </w:t>
        <w:tab/>
        <w:t>místostarosta</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sz w:val="22"/>
          <w:szCs w:val="22"/>
        </w:rPr>
      </w:r>
    </w:p>
    <w:p>
      <w:pPr>
        <w:pStyle w:val="Normal"/>
        <w:tabs>
          <w:tab w:val="clear" w:pos="708"/>
          <w:tab w:val="center" w:pos="1701" w:leader="none"/>
          <w:tab w:val="center" w:pos="7371" w:leader="none"/>
        </w:tabs>
        <w:jc w:val="both"/>
        <w:rPr>
          <w:rFonts w:ascii="Arial" w:hAnsi="Arial" w:cs="Arial"/>
        </w:rPr>
      </w:pPr>
      <w:r>
        <w:rPr>
          <w:rFonts w:cs="Arial" w:ascii="Arial" w:hAnsi="Arial"/>
        </w:rPr>
      </w:r>
    </w:p>
    <w:p>
      <w:pPr>
        <w:pStyle w:val="Tlotextu"/>
        <w:tabs>
          <w:tab w:val="clear" w:pos="708"/>
          <w:tab w:val="left" w:pos="720" w:leader="none"/>
          <w:tab w:val="left" w:pos="61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720" w:leader="none"/>
          <w:tab w:val="left" w:pos="6120" w:leader="none"/>
        </w:tabs>
        <w:spacing w:lineRule="auto" w:line="288" w:before="0" w:after="0"/>
        <w:rPr>
          <w:rFonts w:ascii="Arial" w:hAnsi="Arial" w:cs="Arial"/>
          <w:sz w:val="22"/>
          <w:szCs w:val="22"/>
        </w:rPr>
      </w:pPr>
      <w:r>
        <w:rPr>
          <w:rFonts w:cs="Arial" w:ascii="Arial" w:hAnsi="Arial"/>
          <w:sz w:val="22"/>
          <w:szCs w:val="22"/>
        </w:rPr>
      </w:r>
    </w:p>
    <w:p>
      <w:pPr>
        <w:pStyle w:val="Normal"/>
        <w:spacing w:lineRule="auto" w:line="288" w:before="120" w:after="0"/>
        <w:ind w:left="708" w:firstLine="1"/>
        <w:jc w:val="both"/>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120"/>
        <w:rPr>
          <w:rFonts w:ascii="Arial" w:hAnsi="Arial" w:cs="Arial"/>
          <w:sz w:val="22"/>
          <w:szCs w:val="22"/>
        </w:rPr>
      </w:pPr>
      <w:r>
        <w:rPr/>
      </w:r>
    </w:p>
    <w:sectPr>
      <w:footerReference w:type="default" r:id="rId3"/>
      <w:footnotePr>
        <w:numFmt w:val="decimal"/>
      </w:footnotePr>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Calibri">
    <w:charset w:val="ee"/>
    <w:family w:val="roman"/>
    <w:pitch w:val="variable"/>
  </w:font>
  <w:font w:name="Arial">
    <w:charset w:val="ee"/>
    <w:family w:val="roman"/>
    <w:pitch w:val="variable"/>
  </w:font>
  <w:font w:name="Liberation Sans">
    <w:altName w:val="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jc w:val="center"/>
      <w:rPr>
        <w:rFonts w:ascii="Arial" w:hAnsi="Arial" w:cs="Arial"/>
      </w:rPr>
    </w:pPr>
    <w:r>
      <w:rPr>
        <w:rFonts w:cs="Arial" w:ascii="Arial" w:hAnsi="Arial"/>
      </w:rPr>
      <w:fldChar w:fldCharType="begin"/>
    </w:r>
    <w:r>
      <w:rPr>
        <w:rFonts w:cs="Arial" w:ascii="Arial" w:hAnsi="Arial"/>
      </w:rPr>
      <w:instrText xml:space="preserve"> PAGE </w:instrText>
    </w:r>
    <w:r>
      <w:rPr>
        <w:rFonts w:cs="Arial" w:ascii="Arial" w:hAnsi="Arial"/>
      </w:rPr>
      <w:fldChar w:fldCharType="separate"/>
    </w:r>
    <w:r>
      <w:rPr>
        <w:rFonts w:cs="Arial" w:ascii="Arial" w:hAnsi="Arial"/>
      </w:rPr>
      <w:t>3</w:t>
    </w:r>
    <w:r>
      <w:rPr>
        <w:rFonts w:cs="Arial" w:ascii="Arial" w:hAnsi="Arial"/>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5 zákona o místních poplatcích</w:t>
      </w:r>
    </w:p>
  </w:footnote>
  <w:footnote w:id="3">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4">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1 a odst. 4 zákona o místních poplatcích</w:t>
      </w:r>
    </w:p>
  </w:footnote>
  <w:footnote w:id="5">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6">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1 a 2 zákona o místních poplatcích; v ohlášení poplatník uvede zejména své identifikační údaje a skutečnosti rozhodné pro stanovení poplatku</w:t>
      </w:r>
    </w:p>
  </w:footnote>
  <w:footnote w:id="7">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8">
    <w:p>
      <w:pPr>
        <w:pStyle w:val="Poznmkapodarou"/>
        <w:jc w:val="both"/>
        <w:rPr/>
      </w:pPr>
      <w:r>
        <w:rPr>
          <w:rStyle w:val="Znakypropoznmkupodarou"/>
        </w:rPr>
        <w:footnoteRef/>
      </w:r>
      <w:r>
        <w:rPr>
          <w:rFonts w:cs="Arial" w:ascii="Arial" w:hAnsi="Arial"/>
          <w:sz w:val="18"/>
          <w:szCs w:val="18"/>
        </w:rPr>
        <w:t xml:space="preserve"> </w:t>
      </w:r>
      <w:r>
        <w:rPr>
          <w:rFonts w:cs="Arial" w:ascii="Arial" w:hAnsi="Arial"/>
          <w:sz w:val="18"/>
          <w:szCs w:val="18"/>
        </w:rPr>
        <w:t>§ 2 odst. 3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880"/>
        </w:tabs>
        <w:ind w:left="880"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7">
    <w:lvl w:ilvl="0">
      <w:start w:val="1"/>
      <w:numFmt w:val="decimal"/>
      <w:lvlText w:val="%1."/>
      <w:lvlJc w:val="left"/>
      <w:pPr>
        <w:tabs>
          <w:tab w:val="num" w:pos="425"/>
        </w:tabs>
        <w:ind w:left="425" w:hanging="425"/>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60"/>
  <w:defaultTabStop w:val="708"/>
  <w:autoHyphenation w:val="true"/>
  <w:footnotePr>
    <w:numFmt w:val="decimal"/>
    <w:footnote w:id="0"/>
    <w:footnote w:id="1"/>
  </w:footnotePr>
  <w:compat>
    <w:compatSetting w:name="compatibilityMode" w:uri="http://schemas.microsoft.com/office/word" w:val="1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b6940"/>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893f98"/>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semiHidden/>
    <w:qFormat/>
    <w:rsid w:val="00893f98"/>
    <w:rPr>
      <w:sz w:val="24"/>
      <w:szCs w:val="24"/>
      <w:u w:val="single"/>
      <w:lang w:val="cs-CZ" w:eastAsia="cs-CZ" w:bidi="ar-SA"/>
    </w:rPr>
  </w:style>
  <w:style w:type="character" w:styleId="ZhlavChar" w:customStyle="1">
    <w:name w:val="Záhlaví Char"/>
    <w:semiHidden/>
    <w:qFormat/>
    <w:rsid w:val="00893f98"/>
    <w:rPr>
      <w:sz w:val="24"/>
      <w:szCs w:val="24"/>
      <w:lang w:val="cs-CZ" w:eastAsia="cs-CZ" w:bidi="ar-SA"/>
    </w:rPr>
  </w:style>
  <w:style w:type="character" w:styleId="ZkladntextChar" w:customStyle="1">
    <w:name w:val="Základní text Char"/>
    <w:qFormat/>
    <w:rsid w:val="00893f98"/>
    <w:rPr>
      <w:sz w:val="24"/>
      <w:szCs w:val="24"/>
      <w:lang w:val="cs-CZ" w:eastAsia="cs-CZ" w:bidi="ar-SA"/>
    </w:rPr>
  </w:style>
  <w:style w:type="character" w:styleId="TextpoznpodarouChar" w:customStyle="1">
    <w:name w:val="Text pozn. pod čarou Char"/>
    <w:semiHidden/>
    <w:qFormat/>
    <w:rsid w:val="00893f98"/>
    <w:rPr>
      <w:lang w:val="cs-CZ" w:eastAsia="cs-CZ" w:bidi="ar-SA"/>
    </w:rPr>
  </w:style>
  <w:style w:type="character" w:styleId="Ukotvenpoznmkypodarou">
    <w:name w:val="Ukotvení poznámky pod čarou"/>
    <w:rPr>
      <w:vertAlign w:val="superscript"/>
    </w:rPr>
  </w:style>
  <w:style w:type="character" w:styleId="FootnoteCharacters">
    <w:name w:val="Footnote Characters"/>
    <w:qFormat/>
    <w:rsid w:val="00893f98"/>
    <w:rPr>
      <w:vertAlign w:val="superscript"/>
    </w:rPr>
  </w:style>
  <w:style w:type="character" w:styleId="TextbublinyChar" w:customStyle="1">
    <w:name w:val="Text bubliny Char"/>
    <w:link w:val="BalloonText"/>
    <w:qFormat/>
    <w:rsid w:val="00b84bba"/>
    <w:rPr>
      <w:rFonts w:ascii="Segoe UI" w:hAnsi="Segoe UI" w:cs="Segoe UI"/>
      <w:sz w:val="18"/>
      <w:szCs w:val="18"/>
    </w:rPr>
  </w:style>
  <w:style w:type="character" w:styleId="Annotationreference">
    <w:name w:val="annotation reference"/>
    <w:uiPriority w:val="99"/>
    <w:qFormat/>
    <w:rsid w:val="009e6604"/>
    <w:rPr>
      <w:sz w:val="16"/>
      <w:szCs w:val="16"/>
    </w:rPr>
  </w:style>
  <w:style w:type="character" w:styleId="TextkomenteChar" w:customStyle="1">
    <w:name w:val="Text komentáře Char"/>
    <w:basedOn w:val="DefaultParagraphFont"/>
    <w:link w:val="Annotationtext"/>
    <w:uiPriority w:val="99"/>
    <w:qFormat/>
    <w:rsid w:val="009e6604"/>
    <w:rPr/>
  </w:style>
  <w:style w:type="character" w:styleId="ZpatChar" w:customStyle="1">
    <w:name w:val="Zápatí Char"/>
    <w:uiPriority w:val="99"/>
    <w:qFormat/>
    <w:rsid w:val="005f4061"/>
    <w:rPr>
      <w:rFonts w:ascii="Calibri" w:hAnsi="Calibri" w:eastAsia="Calibri"/>
      <w:sz w:val="22"/>
      <w:szCs w:val="22"/>
      <w:lang w:eastAsia="en-US"/>
    </w:rPr>
  </w:style>
  <w:style w:type="character" w:styleId="NzevChar" w:customStyle="1">
    <w:name w:val="Název Char"/>
    <w:qFormat/>
    <w:rsid w:val="00a7667e"/>
    <w:rPr>
      <w:rFonts w:ascii="Arial" w:hAnsi="Arial" w:cs="Arial"/>
      <w:b/>
      <w:bCs/>
      <w:kern w:val="2"/>
      <w:sz w:val="32"/>
      <w:szCs w:val="32"/>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893f98"/>
    <w:pPr>
      <w:spacing w:before="0" w:after="12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lang w:val="zxx" w:eastAsia="zxx" w:bidi="zxx"/>
    </w:rPr>
  </w:style>
  <w:style w:type="paragraph" w:styleId="Zhlavazpat">
    <w:name w:val="Záhlaví a zápatí"/>
    <w:basedOn w:val="Normal"/>
    <w:qFormat/>
    <w:pPr/>
    <w:rPr/>
  </w:style>
  <w:style w:type="paragraph" w:styleId="Zhlav">
    <w:name w:val="Header"/>
    <w:basedOn w:val="Normal"/>
    <w:link w:val="ZhlavChar"/>
    <w:rsid w:val="00893f98"/>
    <w:pPr>
      <w:tabs>
        <w:tab w:val="clear" w:pos="708"/>
        <w:tab w:val="center" w:pos="4536" w:leader="none"/>
        <w:tab w:val="right" w:pos="9072" w:leader="none"/>
      </w:tabs>
    </w:pPr>
    <w:rPr/>
  </w:style>
  <w:style w:type="paragraph" w:styleId="Poznmkapodarou">
    <w:name w:val="Footnote Text"/>
    <w:basedOn w:val="Normal"/>
    <w:link w:val="TextpoznpodarouChar"/>
    <w:rsid w:val="00893f98"/>
    <w:pPr/>
    <w:rPr>
      <w:sz w:val="20"/>
      <w:szCs w:val="20"/>
    </w:rPr>
  </w:style>
  <w:style w:type="paragraph" w:styleId="Slalnk" w:customStyle="1">
    <w:name w:val="Čísla článků"/>
    <w:basedOn w:val="Normal"/>
    <w:qFormat/>
    <w:rsid w:val="00893f98"/>
    <w:pPr>
      <w:keepNext w:val="true"/>
      <w:keepLines/>
      <w:spacing w:before="360" w:after="60"/>
      <w:jc w:val="center"/>
    </w:pPr>
    <w:rPr>
      <w:b/>
      <w:bCs/>
      <w:szCs w:val="20"/>
    </w:rPr>
  </w:style>
  <w:style w:type="paragraph" w:styleId="Nzvylnk" w:customStyle="1">
    <w:name w:val="Názvy článků"/>
    <w:basedOn w:val="Slalnk"/>
    <w:qFormat/>
    <w:rsid w:val="00893f98"/>
    <w:pPr>
      <w:spacing w:before="60" w:after="160"/>
    </w:pPr>
    <w:rPr/>
  </w:style>
  <w:style w:type="paragraph" w:styleId="Textpozmn" w:customStyle="1">
    <w:name w:val="Text pozm.n."/>
    <w:basedOn w:val="Normal"/>
    <w:next w:val="Normal"/>
    <w:qFormat/>
    <w:rsid w:val="00e66429"/>
    <w:pPr>
      <w:numPr>
        <w:ilvl w:val="0"/>
        <w:numId w:val="7"/>
      </w:numPr>
      <w:tabs>
        <w:tab w:val="clear" w:pos="708"/>
        <w:tab w:val="left" w:pos="851" w:leader="none"/>
      </w:tabs>
      <w:spacing w:before="0" w:after="120"/>
      <w:ind w:left="850" w:hanging="0"/>
      <w:jc w:val="both"/>
    </w:pPr>
    <w:rPr>
      <w:szCs w:val="20"/>
    </w:rPr>
  </w:style>
  <w:style w:type="paragraph" w:styleId="BalloonText">
    <w:name w:val="Balloon Text"/>
    <w:basedOn w:val="Normal"/>
    <w:link w:val="TextbublinyChar"/>
    <w:qFormat/>
    <w:rsid w:val="00b84bba"/>
    <w:pPr/>
    <w:rPr>
      <w:rFonts w:ascii="Segoe UI" w:hAnsi="Segoe UI" w:cs="Segoe UI"/>
      <w:sz w:val="18"/>
      <w:szCs w:val="18"/>
    </w:rPr>
  </w:style>
  <w:style w:type="paragraph" w:styleId="Annotationtext">
    <w:name w:val="annotation text"/>
    <w:basedOn w:val="Normal"/>
    <w:link w:val="TextkomenteChar"/>
    <w:uiPriority w:val="99"/>
    <w:qFormat/>
    <w:rsid w:val="009e6604"/>
    <w:pPr/>
    <w:rPr>
      <w:sz w:val="20"/>
      <w:szCs w:val="20"/>
    </w:rPr>
  </w:style>
  <w:style w:type="paragraph" w:styleId="Zpat">
    <w:name w:val="Footer"/>
    <w:basedOn w:val="Normal"/>
    <w:link w:val="ZpatChar"/>
    <w:uiPriority w:val="99"/>
    <w:unhideWhenUsed/>
    <w:rsid w:val="005f4061"/>
    <w:pPr>
      <w:tabs>
        <w:tab w:val="clear" w:pos="708"/>
        <w:tab w:val="center" w:pos="4536" w:leader="none"/>
        <w:tab w:val="right" w:pos="9072" w:leader="none"/>
      </w:tabs>
    </w:pPr>
    <w:rPr>
      <w:rFonts w:ascii="Calibri" w:hAnsi="Calibri" w:eastAsia="Calibri"/>
      <w:sz w:val="22"/>
      <w:szCs w:val="22"/>
      <w:lang w:eastAsia="en-US"/>
    </w:rPr>
  </w:style>
  <w:style w:type="paragraph" w:styleId="Nzev">
    <w:name w:val="Title"/>
    <w:basedOn w:val="Normal"/>
    <w:link w:val="NzevChar"/>
    <w:qFormat/>
    <w:rsid w:val="00a7667e"/>
    <w:pPr>
      <w:spacing w:before="240" w:after="60"/>
      <w:jc w:val="center"/>
      <w:outlineLvl w:val="0"/>
    </w:pPr>
    <w:rPr>
      <w:rFonts w:ascii="Arial" w:hAnsi="Arial" w:cs="Arial"/>
      <w:b/>
      <w:bCs/>
      <w:kern w:val="2"/>
      <w:sz w:val="32"/>
      <w:szCs w:val="32"/>
    </w:rPr>
  </w:style>
  <w:style w:type="paragraph" w:styleId="NormlnIMP" w:customStyle="1">
    <w:name w:val="Normální_IMP"/>
    <w:basedOn w:val="Normal"/>
    <w:qFormat/>
    <w:rsid w:val="00a7667e"/>
    <w:pPr>
      <w:suppressAutoHyphens w:val="true"/>
      <w:overflowPunct w:val="false"/>
      <w:spacing w:lineRule="auto" w:line="228"/>
      <w:jc w:val="both"/>
    </w:pPr>
    <w:rPr>
      <w:szCs w:val="20"/>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75A50-C053-4B50-9A7D-0B9B01ED2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Application>LibreOffice/7.3.6.2$Windows_X86_64 LibreOffice_project/c28ca90fd6e1a19e189fc16c05f8f8924961e12e</Application>
  <AppVersion>15.0000</AppVersion>
  <Pages>3</Pages>
  <Words>580</Words>
  <Characters>3072</Characters>
  <CharactersWithSpaces>3604</CharactersWithSpaces>
  <Paragraphs>56</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2023-08-28T13:55:00Z</dcterms:created>
  <dc:creator>Žemlová Hana, JUDr.</dc:creator>
  <dc:description/>
  <dc:language>cs-CZ</dc:language>
  <cp:lastModifiedBy/>
  <cp:lastPrinted>2019-09-23T08:46:00Z</cp:lastPrinted>
  <dcterms:modified xsi:type="dcterms:W3CDTF">2023-09-05T14:39:32Z</dcterms:modified>
  <cp:revision>6</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