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jc w:val="center"/>
        <w:rPr/>
      </w:pPr>
      <w:r>
        <w:rPr/>
        <w:t>Obec Hrabová</w:t>
        <w:br/>
        <w:t>Zastupitelstvo obce Hrabová</w:t>
      </w:r>
    </w:p>
    <w:p>
      <w:pPr>
        <w:pStyle w:val="Heading1"/>
        <w:rPr/>
      </w:pPr>
      <w:r>
        <w:rPr/>
        <w:t>Obecně závazná vyhláška obce Hrabová</w:t>
        <w:br/>
        <w:t>o místním poplatku za obecní systém odpadového hospodářství</w:t>
      </w:r>
    </w:p>
    <w:p>
      <w:pPr>
        <w:pStyle w:val="UvodniVeta"/>
        <w:rPr/>
      </w:pPr>
      <w:r>
        <w:rPr/>
        <w:t xml:space="preserve">Zastupitelstvo obce Hrabová se na svém zasedání dne 14.11.2024 </w:t>
      </w:r>
      <w:r>
        <w:rPr>
          <w:rFonts w:cs="Arial"/>
        </w:rPr>
        <w:t xml:space="preserve">usnesením č. Z 24/332 </w:t>
      </w:r>
      <w:r>
        <w:rPr/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4"/>
        </w:numPr>
        <w:rPr/>
      </w:pPr>
      <w:r>
        <w:rPr/>
        <w:t>Obec Hrabová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4"/>
        </w:numPr>
        <w:rPr/>
      </w:pPr>
      <w:r>
        <w:rPr/>
        <w:t>Poplatkovým obdobím poplatku je kalendářní rok</w:t>
      </w:r>
      <w:r>
        <w:rPr>
          <w:rStyle w:val="FootnoteAnchor"/>
          <w:rStyle w:val="FootnoteAnchor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4"/>
        </w:numPr>
        <w:rPr/>
      </w:pPr>
      <w:r>
        <w:rPr/>
        <w:t>Správcem poplatku je obecní úřad</w:t>
      </w:r>
      <w:r>
        <w:rPr>
          <w:rStyle w:val="FootnoteAnchor"/>
          <w:rStyle w:val="FootnoteAnchor"/>
        </w:rPr>
        <w:footnoteReference w:id="3"/>
      </w:r>
      <w:r>
        <w:rPr/>
        <w:t>.</w:t>
      </w:r>
    </w:p>
    <w:p>
      <w:pPr>
        <w:pStyle w:val="Heading2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8"/>
        </w:numPr>
        <w:rPr/>
      </w:pPr>
      <w:r>
        <w:rPr/>
        <w:t>Poplatníkem poplatku je</w:t>
      </w:r>
      <w:r>
        <w:rPr>
          <w:rStyle w:val="FootnoteAnchor"/>
          <w:rStyle w:val="FootnoteAnchor"/>
        </w:rPr>
        <w:footnoteReference w:id="4"/>
      </w:r>
    </w:p>
    <w:p>
      <w:pPr>
        <w:pStyle w:val="Odstavec"/>
        <w:numPr>
          <w:ilvl w:val="1"/>
          <w:numId w:val="8"/>
        </w:numPr>
        <w:rPr/>
      </w:pPr>
      <w:r>
        <w:rPr/>
        <w:t>fyzická osoba přihlášená v obci</w:t>
      </w:r>
      <w:r>
        <w:rPr>
          <w:rStyle w:val="FootnoteAnchor"/>
          <w:rStyle w:val="FootnoteAnchor"/>
        </w:rPr>
        <w:footnoteReference w:id="5"/>
      </w:r>
    </w:p>
    <w:p>
      <w:pPr>
        <w:pStyle w:val="Odstavec"/>
        <w:numPr>
          <w:ilvl w:val="1"/>
          <w:numId w:val="8"/>
        </w:numPr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8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FootnoteAnchor"/>
          <w:rStyle w:val="FootnoteAnchor"/>
        </w:rPr>
        <w:footnoteReference w:id="6"/>
      </w:r>
      <w:r>
        <w:rPr/>
        <w:t>.</w:t>
      </w:r>
    </w:p>
    <w:p>
      <w:pPr>
        <w:pStyle w:val="Heading2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7"/>
        </w:numPr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FootnoteAnchor"/>
          <w:rStyle w:val="FootnoteAnchor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7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FootnoteAnchor"/>
          <w:rStyle w:val="FootnoteAnchor"/>
        </w:rPr>
        <w:footnoteReference w:id="8"/>
      </w:r>
      <w:r>
        <w:rPr/>
        <w:t>.</w:t>
      </w:r>
    </w:p>
    <w:p>
      <w:pPr>
        <w:pStyle w:val="Heading2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rPr/>
      </w:pPr>
      <w:r>
        <w:rPr/>
        <w:t xml:space="preserve">Sazba poplatku za kalendářní rok činí </w:t>
      </w:r>
      <w:r>
        <w:rPr>
          <w:b/>
          <w:bCs/>
        </w:rPr>
        <w:t>600</w:t>
      </w:r>
      <w:r>
        <w:rPr/>
        <w:t> Kč.</w:t>
      </w:r>
    </w:p>
    <w:p>
      <w:pPr>
        <w:pStyle w:val="Odstavec"/>
        <w:numPr>
          <w:ilvl w:val="0"/>
          <w:numId w:val="5"/>
        </w:numPr>
        <w:rPr/>
      </w:pPr>
      <w:r>
        <w:rPr/>
        <w:t>Poplatek za stavbu určenou k rekreaci, byt nebo rodinný dům, ve kterém není přihlášena žádná fyzická osoba je odpovídající výši poplatku za jednu fyzickou osobu.</w:t>
      </w:r>
    </w:p>
    <w:p>
      <w:pPr>
        <w:pStyle w:val="Odstavec"/>
        <w:numPr>
          <w:ilvl w:val="0"/>
          <w:numId w:val="5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5"/>
        </w:numPr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rPr/>
      </w:pPr>
      <w:r>
        <w:rPr/>
        <w:t>nebo je poplatník od poplatku osvobozen.</w:t>
      </w:r>
    </w:p>
    <w:p>
      <w:pPr>
        <w:pStyle w:val="Heading2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2"/>
        </w:numPr>
        <w:rPr/>
      </w:pPr>
      <w:r>
        <w:rPr/>
        <w:t>Poplatek je splatný ve dvou stejných splátkách, nejpozději v termínech do 30. dubna a 31. října příslušného kalendářního roku.</w:t>
      </w:r>
    </w:p>
    <w:p>
      <w:pPr>
        <w:pStyle w:val="Odstavec"/>
        <w:numPr>
          <w:ilvl w:val="0"/>
          <w:numId w:val="2"/>
        </w:numPr>
        <w:rPr/>
      </w:pPr>
      <w:r>
        <w:rPr/>
        <w:t>Vznikne-li poplatková povinnost po datu první splátky uvedené v odstavci 1, je poplatek splatný nejpozději do patnáctého dne měsíce, který následuje po měsíci, ve kterém poplatková povinnost vznikla.</w:t>
      </w:r>
    </w:p>
    <w:p>
      <w:pPr>
        <w:pStyle w:val="Odstavec"/>
        <w:numPr>
          <w:ilvl w:val="0"/>
          <w:numId w:val="2"/>
        </w:numPr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Heading2"/>
        <w:rPr/>
      </w:pPr>
      <w:r>
        <w:rPr/>
        <w:t>Čl. 6</w:t>
        <w:br/>
        <w:t xml:space="preserve"> Osvobození a úlevy </w:t>
      </w:r>
    </w:p>
    <w:p>
      <w:pPr>
        <w:pStyle w:val="Odstavec"/>
        <w:numPr>
          <w:ilvl w:val="0"/>
          <w:numId w:val="6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FootnoteAnchor"/>
          <w:rStyle w:val="FootnoteAnchor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6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6"/>
        </w:numPr>
        <w:rPr/>
      </w:pPr>
      <w:r>
        <w:rPr/>
        <w:t>umístěna do školského zařízení pro výkon ústavní nebo ochranné výchovy nebo školského zařízení pro preventivně výchovnou péči na základě rozhodnutí soudu nebo smlouvy,</w:t>
      </w:r>
    </w:p>
    <w:p>
      <w:pPr>
        <w:pStyle w:val="Odstavec"/>
        <w:numPr>
          <w:ilvl w:val="1"/>
          <w:numId w:val="6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6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6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6"/>
        </w:numPr>
        <w:rPr/>
      </w:pPr>
      <w:r>
        <w:rPr/>
        <w:t>Od poplatku se osvobozuje osoba, které poplatková povinnost vznikla z důvodu přihlášení v obci a která se během celého příslušného kalendářního roku v obci nezdržuje.</w:t>
      </w:r>
    </w:p>
    <w:p>
      <w:pPr>
        <w:pStyle w:val="Odstavec"/>
        <w:numPr>
          <w:ilvl w:val="0"/>
          <w:numId w:val="6"/>
        </w:numPr>
        <w:rPr/>
      </w:pPr>
      <w:r>
        <w:rPr/>
        <w:t>Úleva se poskytuje osobě, které poplatková povinnost vznikla z důvodu přihlášení v obci a která z důvodu studia pobývá v průběhu školního roku mimo obec, ve výši 50%.</w:t>
      </w:r>
    </w:p>
    <w:p>
      <w:pPr>
        <w:pStyle w:val="Odstavec"/>
        <w:numPr>
          <w:ilvl w:val="0"/>
          <w:numId w:val="6"/>
        </w:numPr>
        <w:rPr/>
      </w:pPr>
      <w:r>
        <w:rPr/>
        <w:t>Úleva se poskytuje osobě, které poplatková povinnost vznikla z důvodu přihlášení v obci a která tři po sobě jdoucí měsíce v obci nepřebývá, ve výši 50%.</w:t>
      </w:r>
    </w:p>
    <w:p>
      <w:pPr>
        <w:pStyle w:val="Odstavec"/>
        <w:numPr>
          <w:ilvl w:val="0"/>
          <w:numId w:val="6"/>
        </w:numPr>
        <w:rPr/>
      </w:pPr>
      <w:r>
        <w:rPr/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FootnoteAnchor"/>
          <w:rStyle w:val="FootnoteAnchor"/>
        </w:rPr>
        <w:footnoteReference w:id="10"/>
      </w:r>
      <w:r>
        <w:rPr/>
        <w:t>.</w:t>
      </w:r>
    </w:p>
    <w:p>
      <w:pPr>
        <w:pStyle w:val="Heading2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3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3"/>
        </w:numPr>
        <w:rPr/>
      </w:pPr>
      <w:r>
        <w:rPr/>
        <w:t>Zrušuje se obecně závazná vyhláška č. 3/2024 o místním poplatku za obecní systém odpadového hospodářství, ze dne 29. února 2024</w:t>
      </w:r>
    </w:p>
    <w:p>
      <w:pPr>
        <w:pStyle w:val="Heading2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 ledna 2025.</w:t>
      </w:r>
    </w:p>
    <w:tbl>
      <w:tblPr>
        <w:tblW w:w="9641" w:type="dxa"/>
        <w:jc w:val="start"/>
        <w:tblInd w:w="-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rPr/>
            </w:pPr>
            <w:r>
              <w:rPr/>
              <w:t>Marcel Krmíček 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Mgr. Ing. Petr Moťka, LL.M.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snapToGrid w:val="fals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FootnoteCharacters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Footnote"/>
        <w:rPr/>
      </w:pPr>
      <w:r>
        <w:rPr>
          <w:rStyle w:val="FootnoteCharacters"/>
        </w:rPr>
        <w:footnoteRef/>
      </w:r>
      <w:r>
        <w:rPr/>
        <w:tab/>
        <w:t>§ 10e zákona o místních poplatcích</w:t>
      </w:r>
    </w:p>
  </w:footnote>
  <w:footnote w:id="5">
    <w:p>
      <w:pPr>
        <w:pStyle w:val="Footnote"/>
        <w:rPr/>
      </w:pPr>
      <w:r>
        <w:rPr>
          <w:rStyle w:val="FootnoteCharacters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Footnote"/>
        <w:rPr/>
      </w:pPr>
      <w:r>
        <w:rPr>
          <w:rStyle w:val="FootnoteCharacters"/>
        </w:rPr>
        <w:footnoteRef/>
      </w:r>
      <w:r>
        <w:rPr/>
        <w:tab/>
        <w:t>§ 10p zákona o místních poplatcích</w:t>
      </w:r>
    </w:p>
  </w:footnote>
  <w:footnote w:id="7">
    <w:p>
      <w:pPr>
        <w:pStyle w:val="Footnote"/>
        <w:rPr/>
      </w:pPr>
      <w:r>
        <w:rPr>
          <w:rStyle w:val="FootnoteCharacters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Footnote"/>
        <w:rPr/>
      </w:pPr>
      <w:r>
        <w:rPr>
          <w:rStyle w:val="FootnoteCharacters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Footnote"/>
        <w:rPr/>
      </w:pPr>
      <w:r>
        <w:rPr>
          <w:rStyle w:val="FootnoteCharacters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Footnote"/>
        <w:rPr/>
      </w:pPr>
      <w:r>
        <w:rPr>
          <w:rStyle w:val="FootnoteCharacters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8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Songti SC" w:cs="Arial Unicode MS;Yu Gothic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Standardnpsmoodstavce">
    <w:name w:val="Standardní písmo odstavce"/>
    <w:qFormat/>
    <w:rPr/>
  </w:style>
  <w:style w:type="character" w:styleId="NumberingSymbols">
    <w:name w:val="Numbering Symbols"/>
    <w:qFormat/>
    <w:rPr/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PingFang SC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>
      <w:rFonts w:ascii="Arial" w:hAnsi="Arial" w:cs="Arial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ulek">
    <w:name w:val="Titulek"/>
    <w:basedOn w:val="Normal"/>
    <w:qFormat/>
    <w:pPr>
      <w:suppressLineNumbers/>
      <w:spacing w:before="120" w:after="120"/>
    </w:pPr>
    <w:rPr>
      <w:i/>
      <w:iCs/>
    </w:rPr>
  </w:style>
  <w:style w:type="paragraph" w:styleId="Nzev">
    <w:name w:val="Název"/>
    <w:basedOn w:val="Heading"/>
    <w:next w:val="TextBody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extBody"/>
    <w:qFormat/>
    <w:pPr>
      <w:spacing w:before="0" w:after="120"/>
      <w:jc w:val="both"/>
    </w:pPr>
    <w:rPr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TableContents"/>
    <w:qFormat/>
    <w:pPr>
      <w:jc w:val="center"/>
    </w:pPr>
    <w:rPr>
      <w:rFonts w:ascii="Arial" w:hAnsi="Arial" w:cs="Arial"/>
      <w:sz w:val="22"/>
      <w:szCs w:val="22"/>
    </w:rPr>
  </w:style>
  <w:style w:type="paragraph" w:styleId="Footnote">
    <w:name w:val="Footnote Text"/>
    <w:basedOn w:val="Normal"/>
    <w:pPr>
      <w:suppressLineNumbers/>
      <w:ind w:start="170" w:hanging="170"/>
    </w:pPr>
    <w:rPr>
      <w:rFonts w:ascii="Arial" w:hAnsi="Arial" w:cs="Arial"/>
      <w:sz w:val="18"/>
      <w:szCs w:val="18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LibreOffice/7.2.1.2$Linux_X86_64 LibreOffice_project/20$Build-2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2024-11-07T15:39:00Z</dcterms:created>
  <dc:creator>Lenka</dc:creator>
  <dc:description/>
  <cp:keywords> </cp:keywords>
  <dc:language>en-US</dc:language>
  <cp:lastModifiedBy>Jiří Linhart</cp:lastModifiedBy>
  <dcterms:modified xsi:type="dcterms:W3CDTF">2024-11-18T16:56:00Z</dcterms:modified>
  <cp:revision>3</cp:revision>
  <dc:subject/>
  <dc:title/>
</cp:coreProperties>
</file>