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Velké Petrovice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Tlotextu"/>
        <w:spacing w:lineRule="auto" w:line="312" w:before="0" w:after="0"/>
        <w:jc w:val="center"/>
        <w:rPr/>
      </w:pPr>
      <w:r>
        <w:rPr/>
        <w:drawing>
          <wp:inline distT="0" distB="0" distL="0" distR="0">
            <wp:extent cx="739140" cy="80772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5" t="-2088" r="-2275" b="-2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lineRule="auto" w:line="312" w:before="0" w:after="0"/>
        <w:jc w:val="center"/>
        <w:rPr/>
      </w:pPr>
      <w:r>
        <w:rPr/>
        <w:t>---------------------------------------------------------------------------------------------------------------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Velké Petrovice se na svém zasedání dne 15. listopadu 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Velké Petrovice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700,- Kč</w:t>
      </w:r>
      <w:r>
        <w:rPr>
          <w:rFonts w:cs="Arial" w:ascii="Arial" w:hAnsi="Arial"/>
          <w:sz w:val="22"/>
          <w:szCs w:val="22"/>
          <w:shd w:fill="auto" w:val="clear"/>
        </w:rPr>
        <w:t>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</w:t>
      </w:r>
      <w:r>
        <w:rPr>
          <w:rFonts w:cs="Arial" w:ascii="Arial" w:hAnsi="Arial"/>
          <w:b/>
          <w:bCs/>
          <w:sz w:val="22"/>
          <w:szCs w:val="22"/>
        </w:rPr>
        <w:t>30. dubna</w:t>
      </w:r>
      <w:r>
        <w:rPr>
          <w:rFonts w:cs="Arial" w:ascii="Arial" w:hAnsi="Arial"/>
          <w:sz w:val="22"/>
          <w:szCs w:val="22"/>
        </w:rPr>
        <w:t xml:space="preserve">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 poplatku se osvobozuje osoba, které poplatková povinnost vznikla z důvodu přihlášení v obci a která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tabs>
          <w:tab w:val="clear" w:pos="708"/>
          <w:tab w:val="left" w:pos="851" w:leader="none"/>
        </w:tabs>
        <w:ind w:left="1287" w:hanging="578"/>
        <w:jc w:val="both"/>
        <w:rPr>
          <w:rFonts w:ascii="Arial" w:hAnsi="Arial" w:cs="Arial"/>
        </w:rPr>
      </w:pPr>
      <w:r>
        <w:rPr>
          <w:rFonts w:cs="Arial" w:ascii="Arial" w:hAnsi="Arial"/>
        </w:rPr>
        <w:t>a) se déle než 9 po sobě jdoucích měsíců zdržuje mimo území obce,</w:t>
      </w:r>
    </w:p>
    <w:p>
      <w:pPr>
        <w:pStyle w:val="ListParagraph"/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b) je umístěna v zařízení lůžkové zdravotní péče</w:t>
      </w:r>
      <w:r>
        <w:rPr>
          <w:rStyle w:val="Ukotvenpoznmkypodarou"/>
          <w:rFonts w:cs="Arial" w:ascii="Arial" w:hAnsi="Arial"/>
        </w:rPr>
        <w:footnoteReference w:id="12"/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</w:rPr>
        <w:t>neuvedeném v zákonu o místních poplatcích</w:t>
      </w:r>
      <w:r>
        <w:rPr>
          <w:rStyle w:val="Ukotvenpoznmkypodarou"/>
          <w:rFonts w:cs="Arial" w:ascii="Arial" w:hAnsi="Arial"/>
        </w:rPr>
        <w:footnoteReference w:id="13"/>
      </w:r>
      <w:r>
        <w:rPr>
          <w:rFonts w:cs="Arial" w:ascii="Arial" w:hAnsi="Arial"/>
        </w:rPr>
        <w:t>, pokud toto umístění trvá déle než 3 po sobě jdoucí měsíce v průběhu kalendářního roku, a to po dobu tohoto pobytu,</w:t>
      </w:r>
    </w:p>
    <w:p>
      <w:pPr>
        <w:pStyle w:val="ListParagraph"/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c) je umístěna v pobytovém zařízení sociálních služeb</w:t>
      </w:r>
      <w:r>
        <w:rPr>
          <w:rStyle w:val="Ukotvenpoznmkypodarou"/>
          <w:rFonts w:cs="Arial" w:ascii="Arial" w:hAnsi="Arial"/>
        </w:rPr>
        <w:footnoteReference w:id="14"/>
      </w:r>
      <w:r>
        <w:rPr>
          <w:rFonts w:cs="Arial" w:ascii="Arial" w:hAnsi="Arial"/>
          <w:vertAlign w:val="superscript"/>
        </w:rPr>
        <w:t xml:space="preserve"> </w:t>
      </w:r>
      <w:r>
        <w:rPr>
          <w:rFonts w:cs="Arial" w:ascii="Arial" w:hAnsi="Arial"/>
        </w:rPr>
        <w:t>neuvedeném v zákonu o místních poplatcích</w:t>
      </w:r>
      <w:r>
        <w:rPr>
          <w:rStyle w:val="Ukotvenpoznmkypodarou"/>
          <w:rFonts w:cs="Arial" w:ascii="Arial" w:hAnsi="Arial"/>
        </w:rPr>
        <w:footnoteReference w:id="15"/>
      </w:r>
      <w:r>
        <w:rPr>
          <w:rFonts w:cs="Arial" w:ascii="Arial" w:hAnsi="Arial"/>
        </w:rPr>
        <w:t>, pokud toto umístění trvá déle než 3 po sobě jdoucí měsíce v průběhu kalendářního roku, a to po dobu tohoto umístění,</w:t>
      </w:r>
    </w:p>
    <w:p>
      <w:pPr>
        <w:pStyle w:val="ListParagraph"/>
        <w:tabs>
          <w:tab w:val="clear" w:pos="708"/>
          <w:tab w:val="left" w:pos="851" w:leader="none"/>
        </w:tabs>
        <w:ind w:left="1287" w:hanging="578"/>
        <w:jc w:val="both"/>
        <w:rPr>
          <w:rFonts w:ascii="Arial" w:hAnsi="Arial" w:cs="Arial"/>
        </w:rPr>
      </w:pPr>
      <w:r>
        <w:rPr>
          <w:rFonts w:cs="Arial" w:ascii="Arial" w:hAnsi="Arial"/>
        </w:rPr>
        <w:t>d) se narodila v příslušném kalendářním roce,</w:t>
      </w:r>
    </w:p>
    <w:p>
      <w:pPr>
        <w:pStyle w:val="ListParagraph"/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 </w:t>
      </w:r>
      <w:r>
        <w:rPr>
          <w:rFonts w:cs="Arial" w:ascii="Arial" w:hAnsi="Arial"/>
        </w:rPr>
        <w:t>e) má pobyt v sídle ohlašovny a v příslušném kalendářním roce se zdržuje mimo  území obce.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</w:rPr>
        <w:t>Údaj rozhodný pro osvobození dle odst. 1 a 2</w:t>
      </w:r>
      <w:r>
        <w:rPr>
          <w:rFonts w:cs="Arial" w:ascii="Arial" w:hAnsi="Arial"/>
          <w:color w:val="0070C0"/>
        </w:rPr>
        <w:t xml:space="preserve"> </w:t>
      </w:r>
      <w:r>
        <w:rPr>
          <w:rFonts w:cs="Arial" w:ascii="Arial" w:hAnsi="Arial"/>
        </w:rPr>
        <w:t>tohoto článku je poplatník povinen ohlásit ve lhůtě do 120 dnů od skutečnosti zakládající nárok na osvobození.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(4)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2/2021, o místním poplatku za obecní systém odpadového hospodářství, ze dne 3. 11. 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center"/>
        <w:rPr/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Vladislav Friml v. r.</w:t>
        <w:tab/>
        <w:t>Michal Slezák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1" w:name="_GoBack"/>
      <w:bookmarkStart w:id="2" w:name="_GoBack"/>
      <w:bookmarkEnd w:id="2"/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tabs>
          <w:tab w:val="clear" w:pos="708"/>
          <w:tab w:val="left" w:pos="284" w:leader="none"/>
        </w:tabs>
        <w:ind w:left="284" w:hanging="284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ab/>
        <w:t>§ 9 zákona č. 372/2011 Sb., o zdravotních službách a podmínkách jejich poskytování, ve znění pozdějších          předpisů</w:t>
      </w:r>
    </w:p>
  </w:footnote>
  <w:footnote w:id="13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10b odst. 3 zákona o místních poplatcích</w:t>
      </w:r>
    </w:p>
  </w:footnote>
  <w:footnote w:id="14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sz w:val="18"/>
          <w:szCs w:val="18"/>
        </w:rPr>
        <w:tab/>
        <w:t xml:space="preserve">  </w:t>
      </w:r>
      <w:r>
        <w:rPr>
          <w:rFonts w:cs="Arial" w:ascii="Arial" w:hAnsi="Arial"/>
          <w:sz w:val="18"/>
          <w:szCs w:val="18"/>
        </w:rPr>
        <w:t>zákon č. 108/2006 Sb., o sociálních službách, ve znění pozdějších předpisů</w:t>
      </w:r>
    </w:p>
  </w:footnote>
  <w:footnote w:id="15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§ 10b odst. 3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sid w:val="002045ed"/>
    <w:rPr>
      <w:vertAlign w:val="superscript"/>
    </w:rPr>
  </w:style>
  <w:style w:type="character" w:styleId="FootnoteCharacters">
    <w:name w:val="Footnote Characters"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link w:val="Nzev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FEE8-E3D3-4BE2-9B56-41CD6752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4</Pages>
  <Words>1047</Words>
  <Characters>5700</Characters>
  <CharactersWithSpaces>6695</CharactersWithSpaces>
  <Paragraphs>85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2023-10-16T08:46:00Z</dcterms:created>
  <dc:creator>Mgr. Lukáš Toman</dc:creator>
  <dc:description/>
  <dc:language>cs-CZ</dc:language>
  <cp:lastModifiedBy/>
  <cp:lastPrinted>2015-10-16T08:54:00Z</cp:lastPrinted>
  <dcterms:modified xsi:type="dcterms:W3CDTF">2023-11-15T08:17:29Z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