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D408FA" w14:textId="77777777" w:rsidR="002D1A1F" w:rsidRDefault="00000000">
      <w:pPr>
        <w:pStyle w:val="Nzev"/>
      </w:pPr>
      <w:r>
        <w:t>Město Sedlčany</w:t>
      </w:r>
      <w:r>
        <w:br/>
        <w:t>Zastupitelstvo města Sedlčany</w:t>
      </w:r>
    </w:p>
    <w:p w14:paraId="58695641" w14:textId="77777777" w:rsidR="002D1A1F" w:rsidRDefault="00000000">
      <w:pPr>
        <w:pStyle w:val="Nadpis1"/>
      </w:pPr>
      <w:r>
        <w:t>Obecně závazná vyhláška města Sedlčany</w:t>
      </w:r>
      <w:r>
        <w:br/>
        <w:t>o místním poplatku za odkládání komunálního odpadu z nemovité věci</w:t>
      </w:r>
    </w:p>
    <w:p w14:paraId="5C1EE9FB" w14:textId="38DE990E" w:rsidR="002D1A1F" w:rsidRDefault="00000000">
      <w:pPr>
        <w:pStyle w:val="UvodniVeta"/>
      </w:pPr>
      <w:r>
        <w:t>Zastupitelstvo města Sedlčany se na svém zasedání dne 7. října 2024 usneslo (usnesení č. </w:t>
      </w:r>
      <w:r w:rsidR="00E62EC1">
        <w:t>176</w:t>
      </w:r>
      <w:r>
        <w:t>/2022-2026)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29033161" w14:textId="77777777" w:rsidR="002D1A1F" w:rsidRDefault="00000000">
      <w:pPr>
        <w:pStyle w:val="Nadpis2"/>
      </w:pPr>
      <w:r>
        <w:t>Čl. 1</w:t>
      </w:r>
      <w:r>
        <w:br/>
        <w:t>Úvodní ustanovení</w:t>
      </w:r>
    </w:p>
    <w:p w14:paraId="7A8A1EFE" w14:textId="77777777" w:rsidR="002D1A1F" w:rsidRDefault="00000000">
      <w:pPr>
        <w:pStyle w:val="Odstavec"/>
        <w:numPr>
          <w:ilvl w:val="0"/>
          <w:numId w:val="1"/>
        </w:numPr>
      </w:pPr>
      <w:r>
        <w:t>Město Sedlčany touto vyhláškou zavádí místní poplatek za odkládání komunálního odpadu z nemovité věci (dále jen „poplatek“).</w:t>
      </w:r>
    </w:p>
    <w:p w14:paraId="1FD3DE6D" w14:textId="77777777" w:rsidR="002D1A1F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1E08C1A8" w14:textId="77777777" w:rsidR="002D1A1F" w:rsidRDefault="00000000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14:paraId="50FA1D80" w14:textId="77777777" w:rsidR="002D1A1F" w:rsidRDefault="00000000">
      <w:pPr>
        <w:pStyle w:val="Nadpis2"/>
      </w:pPr>
      <w:r>
        <w:t>Čl. 2</w:t>
      </w:r>
      <w:r>
        <w:br/>
        <w:t>Předmět poplatku, poplatník a plátce poplatku</w:t>
      </w:r>
    </w:p>
    <w:p w14:paraId="264A9EAE" w14:textId="77777777" w:rsidR="002D1A1F" w:rsidRDefault="00000000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města</w:t>
      </w:r>
      <w:r>
        <w:rPr>
          <w:rStyle w:val="Znakapoznpodarou"/>
        </w:rPr>
        <w:footnoteReference w:id="3"/>
      </w:r>
      <w:r>
        <w:t>.</w:t>
      </w:r>
    </w:p>
    <w:p w14:paraId="17B63143" w14:textId="77777777" w:rsidR="002D1A1F" w:rsidRDefault="00000000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438C85B8" w14:textId="77777777" w:rsidR="002D1A1F" w:rsidRDefault="00000000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00F2CE65" w14:textId="77777777" w:rsidR="002D1A1F" w:rsidRDefault="00000000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7DE4B767" w14:textId="77777777" w:rsidR="002D1A1F" w:rsidRDefault="00000000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4A5CEBE5" w14:textId="77777777" w:rsidR="002D1A1F" w:rsidRDefault="00000000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69D290C6" w14:textId="77777777" w:rsidR="002D1A1F" w:rsidRDefault="00000000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4E08DAF0" w14:textId="77777777" w:rsidR="002D1A1F" w:rsidRDefault="00000000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44C40F51" w14:textId="77777777" w:rsidR="002D1A1F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308C6002" w14:textId="77777777" w:rsidR="002D1A1F" w:rsidRDefault="00000000">
      <w:pPr>
        <w:pStyle w:val="Nadpis2"/>
      </w:pPr>
      <w:r>
        <w:lastRenderedPageBreak/>
        <w:t>Čl. 3</w:t>
      </w:r>
      <w:r>
        <w:br/>
        <w:t>Ohlašovací povinnost</w:t>
      </w:r>
    </w:p>
    <w:p w14:paraId="144BEE71" w14:textId="77777777" w:rsidR="002D1A1F" w:rsidRDefault="00000000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400723FE" w14:textId="77777777" w:rsidR="002D1A1F" w:rsidRDefault="0000000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6CFC90ED" w14:textId="77777777" w:rsidR="002D1A1F" w:rsidRDefault="00000000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3050C325" w14:textId="77777777" w:rsidR="002D1A1F" w:rsidRDefault="00000000">
      <w:pPr>
        <w:pStyle w:val="Nadpis2"/>
      </w:pPr>
      <w:r>
        <w:t>Čl. 4</w:t>
      </w:r>
      <w:r>
        <w:br/>
        <w:t>Základ poplatku</w:t>
      </w:r>
    </w:p>
    <w:p w14:paraId="255B1D69" w14:textId="77777777" w:rsidR="002D1A1F" w:rsidRDefault="00000000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33841D1D" w14:textId="77777777" w:rsidR="002D1A1F" w:rsidRDefault="00000000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6E5D9E73" w14:textId="77777777" w:rsidR="002D1A1F" w:rsidRDefault="00000000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18949578" w14:textId="77777777" w:rsidR="002D1A1F" w:rsidRDefault="00000000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1736E175" w14:textId="77777777" w:rsidR="002D1A1F" w:rsidRDefault="00000000">
      <w:pPr>
        <w:pStyle w:val="Odstavec"/>
        <w:numPr>
          <w:ilvl w:val="0"/>
          <w:numId w:val="1"/>
        </w:numPr>
      </w:pPr>
      <w:r>
        <w:t>Minimální základ dílčího poplatku činí 55 litrů.</w:t>
      </w:r>
    </w:p>
    <w:p w14:paraId="2F73F635" w14:textId="77777777" w:rsidR="002D1A1F" w:rsidRDefault="00000000">
      <w:pPr>
        <w:pStyle w:val="Nadpis2"/>
      </w:pPr>
      <w:r>
        <w:t>Čl. 5</w:t>
      </w:r>
      <w:r>
        <w:br/>
        <w:t>Sazba poplatku</w:t>
      </w:r>
    </w:p>
    <w:p w14:paraId="0EB92BA5" w14:textId="77777777" w:rsidR="002D1A1F" w:rsidRDefault="00000000">
      <w:pPr>
        <w:pStyle w:val="Odstavec"/>
      </w:pPr>
      <w:r>
        <w:t>Sazba poplatku činí 0,64 Kč za litr.</w:t>
      </w:r>
    </w:p>
    <w:p w14:paraId="70CC0AFE" w14:textId="77777777" w:rsidR="002D1A1F" w:rsidRDefault="00000000">
      <w:pPr>
        <w:pStyle w:val="Nadpis2"/>
      </w:pPr>
      <w:r>
        <w:t>Čl. 6</w:t>
      </w:r>
      <w:r>
        <w:br/>
        <w:t>Výpočet poplatku</w:t>
      </w:r>
    </w:p>
    <w:p w14:paraId="5ECE9900" w14:textId="77777777" w:rsidR="002D1A1F" w:rsidRDefault="00000000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36D0700A" w14:textId="77777777" w:rsidR="002D1A1F" w:rsidRDefault="00000000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7566FDB5" w14:textId="77777777" w:rsidR="002D1A1F" w:rsidRDefault="00000000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0B1FECF0" w14:textId="77777777" w:rsidR="002D1A1F" w:rsidRDefault="00000000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62D1611E" w14:textId="77777777" w:rsidR="002D1A1F" w:rsidRDefault="00000000">
      <w:pPr>
        <w:pStyle w:val="Nadpis2"/>
      </w:pPr>
      <w:r>
        <w:lastRenderedPageBreak/>
        <w:t>Čl. 7</w:t>
      </w:r>
      <w:r>
        <w:br/>
        <w:t>Splatnost poplatku</w:t>
      </w:r>
    </w:p>
    <w:p w14:paraId="1587A301" w14:textId="77777777" w:rsidR="002D1A1F" w:rsidRPr="009E29EF" w:rsidRDefault="00000000">
      <w:pPr>
        <w:pStyle w:val="Odstavecseseznamem"/>
        <w:numPr>
          <w:ilvl w:val="0"/>
          <w:numId w:val="6"/>
        </w:numPr>
        <w:tabs>
          <w:tab w:val="left" w:pos="-1783"/>
        </w:tabs>
        <w:spacing w:after="240" w:line="276" w:lineRule="auto"/>
        <w:ind w:right="115"/>
        <w:rPr>
          <w:lang w:val="cs-CZ"/>
        </w:rPr>
      </w:pPr>
      <w:r>
        <w:rPr>
          <w:rFonts w:ascii="Arial" w:hAnsi="Arial" w:cs="Arial"/>
          <w:lang w:val="cs-CZ"/>
        </w:rPr>
        <w:t xml:space="preserve">Plátce poplatku odvede vybraný poplatek správci poplatku ve dvou splátkách, a to za první pololetí (od 1. ledna do 30. června) nejpozději do 15. července kalendářního roku, za který </w:t>
      </w:r>
      <w:r>
        <w:rPr>
          <w:rFonts w:ascii="Arial" w:hAnsi="Arial" w:cs="Arial"/>
          <w:lang w:val="cs-CZ"/>
        </w:rPr>
        <w:br/>
        <w:t>se poplatek</w:t>
      </w:r>
      <w:r>
        <w:rPr>
          <w:rFonts w:ascii="Arial" w:hAnsi="Arial" w:cs="Arial"/>
          <w:spacing w:val="-4"/>
          <w:lang w:val="cs-CZ"/>
        </w:rPr>
        <w:t xml:space="preserve"> </w:t>
      </w:r>
      <w:r>
        <w:rPr>
          <w:rFonts w:ascii="Arial" w:hAnsi="Arial" w:cs="Arial"/>
          <w:lang w:val="cs-CZ"/>
        </w:rPr>
        <w:t>platí</w:t>
      </w:r>
      <w:r>
        <w:rPr>
          <w:rFonts w:ascii="Arial" w:hAnsi="Arial" w:cs="Arial"/>
          <w:spacing w:val="-2"/>
          <w:lang w:val="cs-CZ"/>
        </w:rPr>
        <w:t xml:space="preserve"> </w:t>
      </w:r>
      <w:r>
        <w:rPr>
          <w:rFonts w:ascii="Arial" w:hAnsi="Arial" w:cs="Arial"/>
          <w:lang w:val="cs-CZ"/>
        </w:rPr>
        <w:t>a</w:t>
      </w:r>
      <w:r>
        <w:rPr>
          <w:rFonts w:ascii="Arial" w:hAnsi="Arial" w:cs="Arial"/>
          <w:spacing w:val="-2"/>
          <w:lang w:val="cs-CZ"/>
        </w:rPr>
        <w:t xml:space="preserve"> </w:t>
      </w:r>
      <w:r>
        <w:rPr>
          <w:rFonts w:ascii="Arial" w:hAnsi="Arial" w:cs="Arial"/>
          <w:lang w:val="cs-CZ"/>
        </w:rPr>
        <w:t>za</w:t>
      </w:r>
      <w:r>
        <w:rPr>
          <w:rFonts w:ascii="Arial" w:hAnsi="Arial" w:cs="Arial"/>
          <w:spacing w:val="-4"/>
          <w:lang w:val="cs-CZ"/>
        </w:rPr>
        <w:t xml:space="preserve"> </w:t>
      </w:r>
      <w:r>
        <w:rPr>
          <w:rFonts w:ascii="Arial" w:hAnsi="Arial" w:cs="Arial"/>
          <w:lang w:val="cs-CZ"/>
        </w:rPr>
        <w:t>druhé</w:t>
      </w:r>
      <w:r>
        <w:rPr>
          <w:rFonts w:ascii="Arial" w:hAnsi="Arial" w:cs="Arial"/>
          <w:spacing w:val="-1"/>
          <w:lang w:val="cs-CZ"/>
        </w:rPr>
        <w:t xml:space="preserve"> </w:t>
      </w:r>
      <w:r>
        <w:rPr>
          <w:rFonts w:ascii="Arial" w:hAnsi="Arial" w:cs="Arial"/>
          <w:lang w:val="cs-CZ"/>
        </w:rPr>
        <w:t>pololetí</w:t>
      </w:r>
      <w:r>
        <w:rPr>
          <w:rFonts w:ascii="Arial" w:hAnsi="Arial" w:cs="Arial"/>
          <w:spacing w:val="-3"/>
          <w:lang w:val="cs-CZ"/>
        </w:rPr>
        <w:t xml:space="preserve"> </w:t>
      </w:r>
      <w:r>
        <w:rPr>
          <w:rFonts w:ascii="Arial" w:hAnsi="Arial" w:cs="Arial"/>
          <w:lang w:val="cs-CZ"/>
        </w:rPr>
        <w:t>(od</w:t>
      </w:r>
      <w:r>
        <w:rPr>
          <w:rFonts w:ascii="Arial" w:hAnsi="Arial" w:cs="Arial"/>
          <w:spacing w:val="-3"/>
          <w:lang w:val="cs-CZ"/>
        </w:rPr>
        <w:t xml:space="preserve"> </w:t>
      </w:r>
      <w:r>
        <w:rPr>
          <w:rFonts w:ascii="Arial" w:hAnsi="Arial" w:cs="Arial"/>
          <w:lang w:val="cs-CZ"/>
        </w:rPr>
        <w:t>1.</w:t>
      </w:r>
      <w:r>
        <w:rPr>
          <w:rFonts w:ascii="Arial" w:hAnsi="Arial" w:cs="Arial"/>
          <w:spacing w:val="-3"/>
          <w:lang w:val="cs-CZ"/>
        </w:rPr>
        <w:t xml:space="preserve"> </w:t>
      </w:r>
      <w:r>
        <w:rPr>
          <w:rFonts w:ascii="Arial" w:hAnsi="Arial" w:cs="Arial"/>
          <w:lang w:val="cs-CZ"/>
        </w:rPr>
        <w:t>července</w:t>
      </w:r>
      <w:r>
        <w:rPr>
          <w:rFonts w:ascii="Arial" w:hAnsi="Arial" w:cs="Arial"/>
          <w:spacing w:val="-5"/>
          <w:lang w:val="cs-CZ"/>
        </w:rPr>
        <w:t xml:space="preserve"> </w:t>
      </w:r>
      <w:r>
        <w:rPr>
          <w:rFonts w:ascii="Arial" w:hAnsi="Arial" w:cs="Arial"/>
          <w:lang w:val="cs-CZ"/>
        </w:rPr>
        <w:t>do</w:t>
      </w:r>
      <w:r>
        <w:rPr>
          <w:rFonts w:ascii="Arial" w:hAnsi="Arial" w:cs="Arial"/>
          <w:spacing w:val="-3"/>
          <w:lang w:val="cs-CZ"/>
        </w:rPr>
        <w:t xml:space="preserve"> </w:t>
      </w:r>
      <w:r>
        <w:rPr>
          <w:rFonts w:ascii="Arial" w:hAnsi="Arial" w:cs="Arial"/>
          <w:lang w:val="cs-CZ"/>
        </w:rPr>
        <w:t>31.</w:t>
      </w:r>
      <w:r>
        <w:rPr>
          <w:rFonts w:ascii="Arial" w:hAnsi="Arial" w:cs="Arial"/>
          <w:spacing w:val="-3"/>
          <w:lang w:val="cs-CZ"/>
        </w:rPr>
        <w:t xml:space="preserve"> </w:t>
      </w:r>
      <w:r>
        <w:rPr>
          <w:rFonts w:ascii="Arial" w:hAnsi="Arial" w:cs="Arial"/>
          <w:lang w:val="cs-CZ"/>
        </w:rPr>
        <w:t>prosince)</w:t>
      </w:r>
      <w:r>
        <w:rPr>
          <w:rFonts w:ascii="Arial" w:hAnsi="Arial" w:cs="Arial"/>
          <w:spacing w:val="-5"/>
          <w:lang w:val="cs-CZ"/>
        </w:rPr>
        <w:t xml:space="preserve"> </w:t>
      </w:r>
      <w:r>
        <w:rPr>
          <w:rFonts w:ascii="Arial" w:hAnsi="Arial" w:cs="Arial"/>
          <w:lang w:val="cs-CZ"/>
        </w:rPr>
        <w:t>nejpozději</w:t>
      </w:r>
      <w:r>
        <w:rPr>
          <w:rFonts w:ascii="Arial" w:hAnsi="Arial" w:cs="Arial"/>
          <w:spacing w:val="-2"/>
          <w:lang w:val="cs-CZ"/>
        </w:rPr>
        <w:t xml:space="preserve"> </w:t>
      </w:r>
      <w:r>
        <w:rPr>
          <w:rFonts w:ascii="Arial" w:hAnsi="Arial" w:cs="Arial"/>
          <w:lang w:val="cs-CZ"/>
        </w:rPr>
        <w:t>do</w:t>
      </w:r>
      <w:r>
        <w:rPr>
          <w:rFonts w:ascii="Arial" w:hAnsi="Arial" w:cs="Arial"/>
          <w:spacing w:val="-4"/>
          <w:lang w:val="cs-CZ"/>
        </w:rPr>
        <w:t xml:space="preserve"> </w:t>
      </w:r>
      <w:r>
        <w:rPr>
          <w:rFonts w:ascii="Arial" w:hAnsi="Arial" w:cs="Arial"/>
          <w:lang w:val="cs-CZ"/>
        </w:rPr>
        <w:t>15.</w:t>
      </w:r>
      <w:r>
        <w:rPr>
          <w:rFonts w:ascii="Arial" w:hAnsi="Arial" w:cs="Arial"/>
          <w:spacing w:val="-3"/>
          <w:lang w:val="cs-CZ"/>
        </w:rPr>
        <w:t xml:space="preserve"> </w:t>
      </w:r>
      <w:r>
        <w:rPr>
          <w:rFonts w:ascii="Arial" w:hAnsi="Arial" w:cs="Arial"/>
          <w:lang w:val="cs-CZ"/>
        </w:rPr>
        <w:t>ledna</w:t>
      </w:r>
      <w:r>
        <w:rPr>
          <w:rFonts w:ascii="Arial" w:hAnsi="Arial" w:cs="Arial"/>
          <w:spacing w:val="-1"/>
          <w:lang w:val="cs-CZ"/>
        </w:rPr>
        <w:t xml:space="preserve"> </w:t>
      </w:r>
      <w:r>
        <w:rPr>
          <w:rFonts w:ascii="Arial" w:hAnsi="Arial" w:cs="Arial"/>
          <w:lang w:val="cs-CZ"/>
        </w:rPr>
        <w:t xml:space="preserve">roku následujícího po roce, za který se poplatek platí, a to vždy ve výši zjištěné podle Čl. 7 </w:t>
      </w:r>
      <w:r>
        <w:rPr>
          <w:rFonts w:ascii="Arial" w:hAnsi="Arial" w:cs="Arial"/>
          <w:lang w:val="cs-CZ"/>
        </w:rPr>
        <w:br/>
        <w:t>této obecně závazné</w:t>
      </w:r>
      <w:r>
        <w:rPr>
          <w:rFonts w:ascii="Arial" w:hAnsi="Arial" w:cs="Arial"/>
          <w:spacing w:val="-1"/>
          <w:lang w:val="cs-CZ"/>
        </w:rPr>
        <w:t xml:space="preserve"> </w:t>
      </w:r>
      <w:r>
        <w:rPr>
          <w:rFonts w:ascii="Arial" w:hAnsi="Arial" w:cs="Arial"/>
          <w:lang w:val="cs-CZ"/>
        </w:rPr>
        <w:t>vyhlášky.</w:t>
      </w:r>
    </w:p>
    <w:p w14:paraId="0F850E72" w14:textId="77777777" w:rsidR="002D1A1F" w:rsidRDefault="00000000">
      <w:pPr>
        <w:pStyle w:val="Odstavecseseznamem"/>
        <w:numPr>
          <w:ilvl w:val="0"/>
          <w:numId w:val="1"/>
        </w:numPr>
        <w:tabs>
          <w:tab w:val="left" w:pos="-1788"/>
        </w:tabs>
        <w:spacing w:after="240" w:line="276" w:lineRule="auto"/>
        <w:ind w:right="223"/>
      </w:pPr>
      <w:r>
        <w:rPr>
          <w:rFonts w:ascii="Arial" w:hAnsi="Arial" w:cs="Arial"/>
          <w:lang w:val="cs-CZ"/>
        </w:rPr>
        <w:t>Lhůta pro odvedení poplatku neskončí plátci poplatku dříve než lhůta pro podání ohlášení podle Čl. 4 odst. 1 této obecně závazné</w:t>
      </w:r>
      <w:r>
        <w:rPr>
          <w:rFonts w:ascii="Arial" w:hAnsi="Arial" w:cs="Arial"/>
          <w:spacing w:val="-2"/>
          <w:lang w:val="cs-CZ"/>
        </w:rPr>
        <w:t xml:space="preserve"> </w:t>
      </w:r>
      <w:r>
        <w:rPr>
          <w:rFonts w:ascii="Arial" w:hAnsi="Arial" w:cs="Arial"/>
          <w:lang w:val="cs-CZ"/>
        </w:rPr>
        <w:t>vyhlášky.</w:t>
      </w:r>
    </w:p>
    <w:p w14:paraId="7E87DDEA" w14:textId="77777777" w:rsidR="002D1A1F" w:rsidRDefault="00000000">
      <w:pPr>
        <w:pStyle w:val="Odstavec"/>
        <w:numPr>
          <w:ilvl w:val="0"/>
          <w:numId w:val="1"/>
        </w:numPr>
        <w:spacing w:after="240"/>
      </w:pPr>
      <w:r>
        <w:t>Není-li plátce poplatku, zaplatí poplatek ve lhůtě podle odstavce 1 poplatník</w:t>
      </w:r>
      <w:r>
        <w:rPr>
          <w:rStyle w:val="Znakapoznpodarou"/>
        </w:rPr>
        <w:footnoteReference w:id="15"/>
      </w:r>
      <w:r>
        <w:t>.</w:t>
      </w:r>
    </w:p>
    <w:p w14:paraId="3D59442F" w14:textId="77777777" w:rsidR="002D1A1F" w:rsidRDefault="00000000">
      <w:pPr>
        <w:pStyle w:val="Nadpis2"/>
      </w:pPr>
      <w:r>
        <w:t>Čl. 8</w:t>
      </w:r>
      <w:r>
        <w:br/>
        <w:t>Přechodné a zrušovací ustanovení</w:t>
      </w:r>
    </w:p>
    <w:p w14:paraId="24998163" w14:textId="77777777" w:rsidR="002D1A1F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3005834A" w14:textId="77777777" w:rsidR="002D1A1F" w:rsidRDefault="00000000">
      <w:pPr>
        <w:pStyle w:val="Odstavec"/>
        <w:numPr>
          <w:ilvl w:val="0"/>
          <w:numId w:val="1"/>
        </w:numPr>
      </w:pPr>
      <w:r>
        <w:t>Zrušuje se obecně závazná vyhláška č. 7/2023, o místním poplatku za odkládání komunálního odpadu z nemovité věci a která byla schválena Zastupitelstvem města Sedlčany 6. listopadu 2023 usnesením č. 96/2022-2026.</w:t>
      </w:r>
    </w:p>
    <w:p w14:paraId="5E8A7CEE" w14:textId="77777777" w:rsidR="002D1A1F" w:rsidRDefault="00000000">
      <w:pPr>
        <w:pStyle w:val="Nadpis2"/>
      </w:pPr>
      <w:r>
        <w:t>Čl. 9</w:t>
      </w:r>
      <w:r>
        <w:br/>
        <w:t>Účinnost</w:t>
      </w:r>
    </w:p>
    <w:p w14:paraId="01E7A882" w14:textId="77777777" w:rsidR="002D1A1F" w:rsidRDefault="00000000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2D1A1F" w14:paraId="7D2F7D99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3821E0" w14:textId="77777777" w:rsidR="002D1A1F" w:rsidRDefault="00000000">
            <w:pPr>
              <w:pStyle w:val="PodpisovePole"/>
            </w:pPr>
            <w:r>
              <w:t>Ing. Ivan Janeček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784D05" w14:textId="77777777" w:rsidR="002D1A1F" w:rsidRDefault="00000000">
            <w:pPr>
              <w:pStyle w:val="PodpisovePole"/>
            </w:pPr>
            <w:r>
              <w:t>Mgr. Zdeněk Šimeček v. r.</w:t>
            </w:r>
            <w:r>
              <w:br/>
              <w:t xml:space="preserve"> místostarosta</w:t>
            </w:r>
          </w:p>
        </w:tc>
      </w:tr>
      <w:tr w:rsidR="002D1A1F" w14:paraId="14652FC7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F24D0C" w14:textId="77777777" w:rsidR="002D1A1F" w:rsidRDefault="002D1A1F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827F94" w14:textId="77777777" w:rsidR="002D1A1F" w:rsidRDefault="002D1A1F">
            <w:pPr>
              <w:pStyle w:val="PodpisovePole"/>
            </w:pPr>
          </w:p>
        </w:tc>
      </w:tr>
    </w:tbl>
    <w:p w14:paraId="08E6A510" w14:textId="77777777" w:rsidR="002D1A1F" w:rsidRDefault="002D1A1F"/>
    <w:sectPr w:rsidR="002D1A1F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771947" w14:textId="77777777" w:rsidR="00683E6D" w:rsidRDefault="00683E6D">
      <w:r>
        <w:separator/>
      </w:r>
    </w:p>
  </w:endnote>
  <w:endnote w:type="continuationSeparator" w:id="0">
    <w:p w14:paraId="32FD0783" w14:textId="77777777" w:rsidR="00683E6D" w:rsidRDefault="00683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CA72D0" w14:textId="77777777" w:rsidR="00683E6D" w:rsidRDefault="00683E6D">
      <w:r>
        <w:rPr>
          <w:color w:val="000000"/>
        </w:rPr>
        <w:separator/>
      </w:r>
    </w:p>
  </w:footnote>
  <w:footnote w:type="continuationSeparator" w:id="0">
    <w:p w14:paraId="1DC7ED2E" w14:textId="77777777" w:rsidR="00683E6D" w:rsidRDefault="00683E6D">
      <w:r>
        <w:continuationSeparator/>
      </w:r>
    </w:p>
  </w:footnote>
  <w:footnote w:id="1">
    <w:p w14:paraId="2C990F29" w14:textId="77777777" w:rsidR="002D1A1F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06E76CDE" w14:textId="77777777" w:rsidR="002D1A1F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7748335F" w14:textId="77777777" w:rsidR="002D1A1F" w:rsidRDefault="00000000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27E7C298" w14:textId="77777777" w:rsidR="002D1A1F" w:rsidRDefault="00000000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0120F719" w14:textId="77777777" w:rsidR="002D1A1F" w:rsidRDefault="00000000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68B41E32" w14:textId="77777777" w:rsidR="002D1A1F" w:rsidRDefault="00000000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60F75322" w14:textId="77777777" w:rsidR="002D1A1F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0B3D2508" w14:textId="77777777" w:rsidR="002D1A1F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43C26A0A" w14:textId="77777777" w:rsidR="002D1A1F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146ADC13" w14:textId="77777777" w:rsidR="002D1A1F" w:rsidRDefault="0000000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62898198" w14:textId="77777777" w:rsidR="002D1A1F" w:rsidRDefault="00000000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503D8301" w14:textId="77777777" w:rsidR="002D1A1F" w:rsidRDefault="00000000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62D78E95" w14:textId="77777777" w:rsidR="002D1A1F" w:rsidRDefault="00000000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0285E670" w14:textId="77777777" w:rsidR="002D1A1F" w:rsidRDefault="00000000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65E61746" w14:textId="77777777" w:rsidR="002D1A1F" w:rsidRDefault="0000000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5D79DF"/>
    <w:multiLevelType w:val="multilevel"/>
    <w:tmpl w:val="49328AC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551531784">
    <w:abstractNumId w:val="0"/>
  </w:num>
  <w:num w:numId="2" w16cid:durableId="1539969787">
    <w:abstractNumId w:val="0"/>
    <w:lvlOverride w:ilvl="0">
      <w:startOverride w:val="1"/>
    </w:lvlOverride>
  </w:num>
  <w:num w:numId="3" w16cid:durableId="1712337067">
    <w:abstractNumId w:val="0"/>
    <w:lvlOverride w:ilvl="0">
      <w:startOverride w:val="1"/>
    </w:lvlOverride>
  </w:num>
  <w:num w:numId="4" w16cid:durableId="1248343362">
    <w:abstractNumId w:val="0"/>
    <w:lvlOverride w:ilvl="0">
      <w:startOverride w:val="1"/>
    </w:lvlOverride>
  </w:num>
  <w:num w:numId="5" w16cid:durableId="277955290">
    <w:abstractNumId w:val="0"/>
    <w:lvlOverride w:ilvl="0">
      <w:startOverride w:val="1"/>
    </w:lvlOverride>
  </w:num>
  <w:num w:numId="6" w16cid:durableId="996955390">
    <w:abstractNumId w:val="0"/>
    <w:lvlOverride w:ilvl="0">
      <w:startOverride w:val="1"/>
    </w:lvlOverride>
  </w:num>
  <w:num w:numId="7" w16cid:durableId="62011456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D1A1F"/>
    <w:rsid w:val="002D1A1F"/>
    <w:rsid w:val="00683E6D"/>
    <w:rsid w:val="009E29EF"/>
    <w:rsid w:val="00D90464"/>
    <w:rsid w:val="00E62EC1"/>
    <w:rsid w:val="00E8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78A34"/>
  <w15:docId w15:val="{4E2804B6-04B7-4D3B-BC5D-789CE8EBD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Odstavecseseznamem">
    <w:name w:val="List Paragraph"/>
    <w:basedOn w:val="Normln"/>
    <w:pPr>
      <w:widowControl w:val="0"/>
      <w:suppressAutoHyphens w:val="0"/>
      <w:autoSpaceDE w:val="0"/>
      <w:ind w:left="118"/>
      <w:jc w:val="both"/>
      <w:textAlignment w:val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1401</TotalTime>
  <Pages>3</Pages>
  <Words>613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tajemnik</dc:creator>
  <cp:lastModifiedBy>Vodnansky</cp:lastModifiedBy>
  <cp:revision>3</cp:revision>
  <cp:lastPrinted>2024-09-27T06:55:00Z</cp:lastPrinted>
  <dcterms:created xsi:type="dcterms:W3CDTF">2024-10-10T08:17:00Z</dcterms:created>
  <dcterms:modified xsi:type="dcterms:W3CDTF">2024-10-11T07:30:00Z</dcterms:modified>
</cp:coreProperties>
</file>