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A190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1DA1937" wp14:editId="41DA193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SVS/2024/081389-M</w:t>
              </w:r>
            </w:sdtContent>
          </w:sdt>
        </w:sdtContent>
      </w:sdt>
    </w:p>
    <w:p w14:paraId="41DA190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1DA190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D696E2A" w14:textId="77777777" w:rsidR="00F47F2F" w:rsidRDefault="00F47F2F" w:rsidP="00F47F2F">
      <w:pPr>
        <w:pStyle w:val="Default"/>
      </w:pPr>
    </w:p>
    <w:p w14:paraId="41DA1908" w14:textId="1CA3A1F0" w:rsidR="00616664" w:rsidRPr="00F47F2F" w:rsidRDefault="00F47F2F" w:rsidP="00F47F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bookmarkStart w:id="0" w:name="_Hlk167789069"/>
      <w:r w:rsidRPr="00F47F2F">
        <w:rPr>
          <w:rFonts w:ascii="Arial" w:hAnsi="Arial" w:cs="Arial"/>
        </w:rPr>
        <w:t xml:space="preserve"> </w:t>
      </w:r>
      <w:r w:rsidRPr="00F47F2F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</w:t>
      </w:r>
    </w:p>
    <w:p w14:paraId="41DA190A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EC9EF5A" w14:textId="53ECAD0C" w:rsidR="00F47F2F" w:rsidRDefault="00F47F2F" w:rsidP="00E56C40">
      <w:pPr>
        <w:tabs>
          <w:tab w:val="left" w:pos="5387"/>
        </w:tabs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 w:rsidRPr="00F47F2F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30EE0003" w14:textId="77777777" w:rsidR="00E56C40" w:rsidRDefault="00E56C40" w:rsidP="00E56C40">
      <w:pPr>
        <w:pStyle w:val="Default"/>
      </w:pPr>
    </w:p>
    <w:p w14:paraId="22028CBC" w14:textId="77777777" w:rsidR="00E56C40" w:rsidRDefault="00E56C40" w:rsidP="00E56C40">
      <w:pPr>
        <w:pStyle w:val="Default"/>
        <w:ind w:firstLine="708"/>
        <w:jc w:val="both"/>
        <w:rPr>
          <w:b/>
          <w:bCs/>
          <w:sz w:val="20"/>
          <w:szCs w:val="20"/>
        </w:rPr>
      </w:pPr>
      <w:r w:rsidRPr="008A4189">
        <w:rPr>
          <w:b/>
          <w:bCs/>
          <w:sz w:val="20"/>
          <w:szCs w:val="20"/>
        </w:rPr>
        <w:t>Mimořádná veterinární opatření</w:t>
      </w:r>
      <w:r w:rsidRPr="00E56C40">
        <w:rPr>
          <w:sz w:val="20"/>
          <w:szCs w:val="20"/>
        </w:rPr>
        <w:t xml:space="preserve"> k zamezení šíření nebezpečné nákazy – moru včelího plodu v Olomouckém kraji – nařízená dne </w:t>
      </w:r>
      <w:r>
        <w:rPr>
          <w:sz w:val="20"/>
          <w:szCs w:val="20"/>
        </w:rPr>
        <w:t>16</w:t>
      </w:r>
      <w:r w:rsidRPr="00E56C40">
        <w:rPr>
          <w:sz w:val="20"/>
          <w:szCs w:val="20"/>
        </w:rPr>
        <w:t>.05.202</w:t>
      </w:r>
      <w:r>
        <w:rPr>
          <w:sz w:val="20"/>
          <w:szCs w:val="20"/>
        </w:rPr>
        <w:t>3</w:t>
      </w:r>
      <w:r w:rsidRPr="00E56C40">
        <w:rPr>
          <w:sz w:val="20"/>
          <w:szCs w:val="20"/>
        </w:rPr>
        <w:t xml:space="preserve">, pod </w:t>
      </w:r>
      <w:r w:rsidRPr="00447276">
        <w:rPr>
          <w:b/>
          <w:bCs/>
          <w:sz w:val="20"/>
          <w:szCs w:val="20"/>
        </w:rPr>
        <w:t>č.j. SVS/2023/068539–M</w:t>
      </w:r>
      <w:r w:rsidRPr="00E56C40">
        <w:rPr>
          <w:sz w:val="20"/>
          <w:szCs w:val="20"/>
        </w:rPr>
        <w:t>, v územním obvodu Olomouckého kraje,</w:t>
      </w:r>
      <w:r>
        <w:rPr>
          <w:sz w:val="20"/>
          <w:szCs w:val="20"/>
        </w:rPr>
        <w:t xml:space="preserve"> </w:t>
      </w:r>
      <w:r w:rsidRPr="00E56C40">
        <w:rPr>
          <w:sz w:val="20"/>
          <w:szCs w:val="20"/>
        </w:rPr>
        <w:t xml:space="preserve">okres Olomouc a Šumperk: </w:t>
      </w:r>
      <w:r w:rsidRPr="00E56C40">
        <w:rPr>
          <w:b/>
          <w:bCs/>
          <w:sz w:val="20"/>
          <w:szCs w:val="20"/>
        </w:rPr>
        <w:t>608688 Bezděkov nad Třebůvkou, 608700 Doly u Bouzova, 672033 Kozov, 738131 Radnice, 718475 Svinov u Pavlova, 672041 Svojanov u Bouzova a 780669 Veselí u Mohelnice</w:t>
      </w:r>
    </w:p>
    <w:p w14:paraId="1453E2C7" w14:textId="77777777" w:rsidR="00E56C40" w:rsidRDefault="00E56C40" w:rsidP="00E56C40">
      <w:pPr>
        <w:pStyle w:val="Default"/>
        <w:jc w:val="both"/>
        <w:rPr>
          <w:b/>
          <w:bCs/>
          <w:sz w:val="20"/>
          <w:szCs w:val="20"/>
        </w:rPr>
      </w:pPr>
    </w:p>
    <w:p w14:paraId="6BD53EE0" w14:textId="712F9906" w:rsidR="00E56C40" w:rsidRPr="00E56C40" w:rsidRDefault="00E56C40" w:rsidP="00E56C4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</w:t>
      </w:r>
      <w:r w:rsidRPr="00E56C40">
        <w:rPr>
          <w:b/>
          <w:bCs/>
          <w:sz w:val="20"/>
          <w:szCs w:val="20"/>
        </w:rPr>
        <w:t>u</w:t>
      </w:r>
      <w:r>
        <w:rPr>
          <w:b/>
          <w:bCs/>
          <w:sz w:val="20"/>
          <w:szCs w:val="20"/>
        </w:rPr>
        <w:t>končuj</w:t>
      </w:r>
      <w:r w:rsidRPr="00E56C40">
        <w:rPr>
          <w:b/>
          <w:bCs/>
          <w:sz w:val="20"/>
          <w:szCs w:val="20"/>
        </w:rPr>
        <w:t>í.</w:t>
      </w:r>
    </w:p>
    <w:p w14:paraId="41DA1914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1DA1915" w14:textId="32083BC5" w:rsidR="00616664" w:rsidRPr="00C15F8F" w:rsidRDefault="00F47F2F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79D2B4CE" w14:textId="0996CC6F" w:rsid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>
        <w:rPr>
          <w:sz w:val="20"/>
          <w:szCs w:val="20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07EB0B51" w14:textId="77777777" w:rsid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</w:p>
    <w:p w14:paraId="5E42E9B7" w14:textId="5E822202" w:rsidR="00F47F2F" w:rsidRP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  <w:r w:rsidRPr="00F47F2F">
        <w:rPr>
          <w:sz w:val="20"/>
          <w:szCs w:val="20"/>
        </w:rPr>
        <w:t>(2)</w:t>
      </w:r>
      <w:r>
        <w:rPr>
          <w:sz w:val="20"/>
          <w:szCs w:val="20"/>
        </w:rPr>
        <w:tab/>
      </w:r>
      <w:r w:rsidRPr="00F47F2F">
        <w:rPr>
          <w:sz w:val="20"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480CEB2B" w14:textId="77777777" w:rsid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</w:p>
    <w:p w14:paraId="32A6BAB8" w14:textId="58E117D3" w:rsid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156067A" w14:textId="77777777" w:rsid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</w:p>
    <w:p w14:paraId="1C4343CC" w14:textId="12A332EA" w:rsidR="00F47F2F" w:rsidRDefault="00F47F2F" w:rsidP="00F47F2F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>Tímto nařízením se zrušuje nařízení Státní veterinární správy č.j. SVS/2023/</w:t>
      </w:r>
      <w:r w:rsidR="007020AB">
        <w:rPr>
          <w:sz w:val="20"/>
          <w:szCs w:val="20"/>
        </w:rPr>
        <w:t>0</w:t>
      </w:r>
      <w:r>
        <w:rPr>
          <w:sz w:val="20"/>
          <w:szCs w:val="20"/>
        </w:rPr>
        <w:t xml:space="preserve">68539-M ze dne 16.05.2023. </w:t>
      </w:r>
    </w:p>
    <w:p w14:paraId="6C428221" w14:textId="77777777" w:rsidR="00E56C40" w:rsidRDefault="00E56C40" w:rsidP="00F47F2F">
      <w:pPr>
        <w:pStyle w:val="Default"/>
        <w:ind w:left="709" w:hanging="709"/>
        <w:jc w:val="both"/>
        <w:rPr>
          <w:sz w:val="20"/>
          <w:szCs w:val="20"/>
        </w:rPr>
      </w:pPr>
    </w:p>
    <w:p w14:paraId="41DA192C" w14:textId="4CA1DA06" w:rsidR="00312826" w:rsidRPr="00E56C40" w:rsidRDefault="00616664" w:rsidP="00E56C40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47F2F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F47F2F" w:rsidRPr="00F47F2F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F47F2F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502F0C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04.06.2024</w:t>
          </w:r>
        </w:sdtContent>
      </w:sdt>
    </w:p>
    <w:bookmarkEnd w:id="0"/>
    <w:p w14:paraId="41DA192E" w14:textId="77777777" w:rsidR="00312826" w:rsidRPr="00312826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41DA192F" w14:textId="34F57203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F47F2F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688FAEE8" w14:textId="77777777" w:rsidR="00E56C40" w:rsidRDefault="00312826" w:rsidP="00E56C40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1DA1932" w14:textId="313565D0" w:rsidR="00616664" w:rsidRPr="00E56C40" w:rsidRDefault="00616664" w:rsidP="00E56C40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41DA1934" w14:textId="2901B87E" w:rsidR="00616664" w:rsidRDefault="00E56C4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6779E3EB" w14:textId="5D076830" w:rsidR="00E56C40" w:rsidRPr="00E56C40" w:rsidRDefault="00E56C4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obecní a městské obecní úřady</w:t>
          </w:r>
        </w:p>
      </w:sdtContent>
    </w:sdt>
    <w:p w14:paraId="41DA1936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93385" w14:textId="77777777" w:rsidR="00BB412F" w:rsidRDefault="00BB412F" w:rsidP="00461078">
      <w:pPr>
        <w:spacing w:after="0" w:line="240" w:lineRule="auto"/>
      </w:pPr>
      <w:r>
        <w:separator/>
      </w:r>
    </w:p>
  </w:endnote>
  <w:endnote w:type="continuationSeparator" w:id="0">
    <w:p w14:paraId="55B5CFC3" w14:textId="77777777" w:rsidR="00BB412F" w:rsidRDefault="00BB412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1DA193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1DA193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766CA" w14:textId="77777777" w:rsidR="00BB412F" w:rsidRDefault="00BB412F" w:rsidP="00461078">
      <w:pPr>
        <w:spacing w:after="0" w:line="240" w:lineRule="auto"/>
      </w:pPr>
      <w:r>
        <w:separator/>
      </w:r>
    </w:p>
  </w:footnote>
  <w:footnote w:type="continuationSeparator" w:id="0">
    <w:p w14:paraId="7C6CF5D2" w14:textId="77777777" w:rsidR="00BB412F" w:rsidRDefault="00BB412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0098A9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8982181">
    <w:abstractNumId w:val="0"/>
  </w:num>
  <w:num w:numId="2" w16cid:durableId="302580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8124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020307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60377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036468">
    <w:abstractNumId w:val="1"/>
  </w:num>
  <w:num w:numId="7" w16cid:durableId="55813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47276"/>
    <w:rsid w:val="00461078"/>
    <w:rsid w:val="00502F0C"/>
    <w:rsid w:val="005B7FBE"/>
    <w:rsid w:val="00616664"/>
    <w:rsid w:val="00661489"/>
    <w:rsid w:val="007020AB"/>
    <w:rsid w:val="00740498"/>
    <w:rsid w:val="008A4189"/>
    <w:rsid w:val="009066E7"/>
    <w:rsid w:val="00A55708"/>
    <w:rsid w:val="00BB412F"/>
    <w:rsid w:val="00C02278"/>
    <w:rsid w:val="00C9106A"/>
    <w:rsid w:val="00CB7542"/>
    <w:rsid w:val="00DC4873"/>
    <w:rsid w:val="00E56C40"/>
    <w:rsid w:val="00F348FB"/>
    <w:rsid w:val="00F47F2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90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F47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40B5"/>
    <w:rsid w:val="003A5764"/>
    <w:rsid w:val="005B7FBE"/>
    <w:rsid w:val="005E611E"/>
    <w:rsid w:val="00702975"/>
    <w:rsid w:val="00A55708"/>
    <w:rsid w:val="00C02278"/>
    <w:rsid w:val="00CB7542"/>
    <w:rsid w:val="00DD3AE4"/>
    <w:rsid w:val="00F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D3AE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7257-5381-41EB-BCB4-7F2D75CF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2024-06-04T10:22:00Z</dcterms:created>
  <dcterms:modified xsi:type="dcterms:W3CDTF">2024-06-04T10:22:00Z</dcterms:modified>
</cp:coreProperties>
</file>