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0340" w14:textId="77777777" w:rsidR="00452679" w:rsidRDefault="0049724C">
      <w:pPr>
        <w:spacing w:line="200" w:lineRule="exact"/>
        <w:rPr>
          <w:sz w:val="24"/>
          <w:szCs w:val="24"/>
        </w:rPr>
      </w:pPr>
      <w:bookmarkStart w:id="0" w:name="page1"/>
      <w:bookmarkEnd w:id="0"/>
      <w:r>
        <w:rPr>
          <w:noProof/>
          <w:sz w:val="24"/>
          <w:szCs w:val="24"/>
        </w:rPr>
        <w:drawing>
          <wp:anchor distT="0" distB="0" distL="114300" distR="114300" simplePos="0" relativeHeight="251655680" behindDoc="1" locked="0" layoutInCell="0" allowOverlap="1" wp14:anchorId="307308FB" wp14:editId="482C4B9E">
            <wp:simplePos x="0" y="0"/>
            <wp:positionH relativeFrom="page">
              <wp:posOffset>3303905</wp:posOffset>
            </wp:positionH>
            <wp:positionV relativeFrom="page">
              <wp:posOffset>900430</wp:posOffset>
            </wp:positionV>
            <wp:extent cx="952500" cy="1056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952500" cy="1056640"/>
                    </a:xfrm>
                    <a:prstGeom prst="rect">
                      <a:avLst/>
                    </a:prstGeom>
                    <a:noFill/>
                  </pic:spPr>
                </pic:pic>
              </a:graphicData>
            </a:graphic>
          </wp:anchor>
        </w:drawing>
      </w:r>
    </w:p>
    <w:p w14:paraId="01DF7F54" w14:textId="77777777" w:rsidR="00452679" w:rsidRDefault="00452679">
      <w:pPr>
        <w:spacing w:line="200" w:lineRule="exact"/>
        <w:rPr>
          <w:sz w:val="24"/>
          <w:szCs w:val="24"/>
        </w:rPr>
      </w:pPr>
    </w:p>
    <w:p w14:paraId="76245B28" w14:textId="77777777" w:rsidR="00452679" w:rsidRDefault="00452679">
      <w:pPr>
        <w:spacing w:line="200" w:lineRule="exact"/>
        <w:rPr>
          <w:sz w:val="24"/>
          <w:szCs w:val="24"/>
        </w:rPr>
      </w:pPr>
    </w:p>
    <w:p w14:paraId="6BC9FCBA" w14:textId="77777777" w:rsidR="00452679" w:rsidRDefault="00452679">
      <w:pPr>
        <w:spacing w:line="200" w:lineRule="exact"/>
        <w:rPr>
          <w:sz w:val="24"/>
          <w:szCs w:val="24"/>
        </w:rPr>
      </w:pPr>
    </w:p>
    <w:p w14:paraId="3EF14B67" w14:textId="77777777" w:rsidR="00452679" w:rsidRDefault="00452679">
      <w:pPr>
        <w:spacing w:line="200" w:lineRule="exact"/>
        <w:rPr>
          <w:sz w:val="24"/>
          <w:szCs w:val="24"/>
        </w:rPr>
      </w:pPr>
    </w:p>
    <w:p w14:paraId="49E6948C" w14:textId="77777777" w:rsidR="00452679" w:rsidRDefault="00452679">
      <w:pPr>
        <w:spacing w:line="200" w:lineRule="exact"/>
        <w:rPr>
          <w:sz w:val="24"/>
          <w:szCs w:val="24"/>
        </w:rPr>
      </w:pPr>
    </w:p>
    <w:p w14:paraId="2DDD8871" w14:textId="77777777" w:rsidR="00452679" w:rsidRDefault="00452679">
      <w:pPr>
        <w:spacing w:line="200" w:lineRule="exact"/>
        <w:rPr>
          <w:sz w:val="24"/>
          <w:szCs w:val="24"/>
        </w:rPr>
      </w:pPr>
    </w:p>
    <w:p w14:paraId="26C818C4" w14:textId="77777777" w:rsidR="00452679" w:rsidRDefault="00452679">
      <w:pPr>
        <w:spacing w:line="200" w:lineRule="exact"/>
        <w:rPr>
          <w:sz w:val="24"/>
          <w:szCs w:val="24"/>
        </w:rPr>
      </w:pPr>
    </w:p>
    <w:p w14:paraId="656AD624" w14:textId="77777777" w:rsidR="00452679" w:rsidRDefault="00452679">
      <w:pPr>
        <w:spacing w:line="294" w:lineRule="exact"/>
        <w:rPr>
          <w:sz w:val="24"/>
          <w:szCs w:val="24"/>
        </w:rPr>
      </w:pPr>
    </w:p>
    <w:p w14:paraId="4EA61318" w14:textId="77777777" w:rsidR="00452679" w:rsidRDefault="0049724C">
      <w:pPr>
        <w:tabs>
          <w:tab w:val="left" w:pos="280"/>
        </w:tabs>
        <w:ind w:right="19"/>
        <w:jc w:val="center"/>
        <w:rPr>
          <w:sz w:val="20"/>
          <w:szCs w:val="20"/>
        </w:rPr>
      </w:pPr>
      <w:r>
        <w:rPr>
          <w:rFonts w:eastAsia="Times New Roman"/>
          <w:b/>
          <w:bCs/>
          <w:sz w:val="40"/>
          <w:szCs w:val="40"/>
        </w:rPr>
        <w:t>OBEC</w:t>
      </w:r>
      <w:r>
        <w:rPr>
          <w:rFonts w:eastAsia="Times New Roman"/>
          <w:b/>
          <w:bCs/>
          <w:sz w:val="40"/>
          <w:szCs w:val="40"/>
        </w:rPr>
        <w:tab/>
        <w:t>KLÍNY</w:t>
      </w:r>
    </w:p>
    <w:p w14:paraId="54376EC3" w14:textId="77777777" w:rsidR="00452679" w:rsidRDefault="00452679">
      <w:pPr>
        <w:spacing w:line="228" w:lineRule="exact"/>
        <w:rPr>
          <w:sz w:val="24"/>
          <w:szCs w:val="24"/>
        </w:rPr>
      </w:pPr>
    </w:p>
    <w:p w14:paraId="6DA11005" w14:textId="77777777" w:rsidR="00452679" w:rsidRDefault="0049724C">
      <w:pPr>
        <w:ind w:right="19"/>
        <w:jc w:val="center"/>
        <w:rPr>
          <w:sz w:val="20"/>
          <w:szCs w:val="20"/>
        </w:rPr>
      </w:pPr>
      <w:r>
        <w:rPr>
          <w:rFonts w:eastAsia="Times New Roman"/>
          <w:b/>
          <w:bCs/>
          <w:sz w:val="32"/>
          <w:szCs w:val="32"/>
        </w:rPr>
        <w:t>Obecně závazná vyhláška č. 1/2017,</w:t>
      </w:r>
    </w:p>
    <w:p w14:paraId="56F08035" w14:textId="77777777" w:rsidR="00452679" w:rsidRDefault="00452679">
      <w:pPr>
        <w:spacing w:line="232" w:lineRule="exact"/>
        <w:rPr>
          <w:sz w:val="24"/>
          <w:szCs w:val="24"/>
        </w:rPr>
      </w:pPr>
    </w:p>
    <w:p w14:paraId="63735CC6" w14:textId="77777777" w:rsidR="00452679" w:rsidRDefault="0049724C">
      <w:pPr>
        <w:ind w:left="4061"/>
        <w:rPr>
          <w:sz w:val="20"/>
          <w:szCs w:val="20"/>
        </w:rPr>
      </w:pPr>
      <w:r>
        <w:rPr>
          <w:rFonts w:eastAsia="Times New Roman"/>
          <w:b/>
          <w:bCs/>
          <w:sz w:val="28"/>
          <w:szCs w:val="28"/>
        </w:rPr>
        <w:t>požární řád</w:t>
      </w:r>
    </w:p>
    <w:p w14:paraId="5BBB0ADE" w14:textId="77777777" w:rsidR="00452679" w:rsidRDefault="00452679">
      <w:pPr>
        <w:spacing w:line="228" w:lineRule="exact"/>
        <w:rPr>
          <w:sz w:val="24"/>
          <w:szCs w:val="24"/>
        </w:rPr>
      </w:pPr>
    </w:p>
    <w:p w14:paraId="319CD8EA" w14:textId="77777777" w:rsidR="00452679" w:rsidRDefault="0049724C">
      <w:pPr>
        <w:ind w:left="1"/>
        <w:rPr>
          <w:sz w:val="20"/>
          <w:szCs w:val="20"/>
        </w:rPr>
      </w:pPr>
      <w:r>
        <w:rPr>
          <w:rFonts w:eastAsia="Times New Roman"/>
          <w:i/>
          <w:iCs/>
          <w:sz w:val="24"/>
          <w:szCs w:val="24"/>
        </w:rPr>
        <w:t>Zastupitelstvo obce Klíny se na svém zasedání dne 27. října 2017 usneslo vydat na základě</w:t>
      </w:r>
    </w:p>
    <w:p w14:paraId="693A62EB" w14:textId="77777777" w:rsidR="00452679" w:rsidRDefault="00452679">
      <w:pPr>
        <w:spacing w:line="12" w:lineRule="exact"/>
        <w:rPr>
          <w:sz w:val="24"/>
          <w:szCs w:val="24"/>
        </w:rPr>
      </w:pPr>
    </w:p>
    <w:p w14:paraId="7FF1D05F" w14:textId="77777777" w:rsidR="00452679" w:rsidRDefault="0049724C">
      <w:pPr>
        <w:numPr>
          <w:ilvl w:val="0"/>
          <w:numId w:val="1"/>
        </w:numPr>
        <w:tabs>
          <w:tab w:val="left" w:pos="181"/>
        </w:tabs>
        <w:spacing w:line="237" w:lineRule="auto"/>
        <w:ind w:left="1" w:right="20" w:hanging="1"/>
        <w:jc w:val="both"/>
        <w:rPr>
          <w:rFonts w:eastAsia="Times New Roman"/>
          <w:i/>
          <w:iCs/>
          <w:sz w:val="24"/>
          <w:szCs w:val="24"/>
        </w:rPr>
      </w:pPr>
      <w:r>
        <w:rPr>
          <w:rFonts w:eastAsia="Times New Roman"/>
          <w:i/>
          <w:iCs/>
          <w:sz w:val="24"/>
          <w:szCs w:val="24"/>
        </w:rPr>
        <w:t>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„vyhláška“):</w:t>
      </w:r>
    </w:p>
    <w:p w14:paraId="7AD3C824" w14:textId="77777777" w:rsidR="00452679" w:rsidRDefault="00452679">
      <w:pPr>
        <w:spacing w:line="232" w:lineRule="exact"/>
        <w:rPr>
          <w:sz w:val="24"/>
          <w:szCs w:val="24"/>
        </w:rPr>
      </w:pPr>
    </w:p>
    <w:p w14:paraId="29B20231" w14:textId="77777777" w:rsidR="00452679" w:rsidRDefault="0049724C">
      <w:pPr>
        <w:ind w:right="19"/>
        <w:jc w:val="center"/>
        <w:rPr>
          <w:sz w:val="20"/>
          <w:szCs w:val="20"/>
        </w:rPr>
      </w:pPr>
      <w:r>
        <w:rPr>
          <w:rFonts w:eastAsia="Times New Roman"/>
          <w:b/>
          <w:bCs/>
          <w:sz w:val="24"/>
          <w:szCs w:val="24"/>
        </w:rPr>
        <w:t>Článek 1</w:t>
      </w:r>
    </w:p>
    <w:p w14:paraId="2D0AE80B" w14:textId="77777777" w:rsidR="00452679" w:rsidRDefault="0049724C">
      <w:pPr>
        <w:ind w:right="19"/>
        <w:jc w:val="center"/>
        <w:rPr>
          <w:sz w:val="20"/>
          <w:szCs w:val="20"/>
        </w:rPr>
      </w:pPr>
      <w:r>
        <w:rPr>
          <w:rFonts w:eastAsia="Times New Roman"/>
          <w:b/>
          <w:bCs/>
          <w:sz w:val="24"/>
          <w:szCs w:val="24"/>
        </w:rPr>
        <w:t>Úvodní ustanovení</w:t>
      </w:r>
    </w:p>
    <w:p w14:paraId="1674CA76" w14:textId="77777777" w:rsidR="00452679" w:rsidRDefault="00452679">
      <w:pPr>
        <w:spacing w:line="240" w:lineRule="exact"/>
        <w:rPr>
          <w:sz w:val="24"/>
          <w:szCs w:val="24"/>
        </w:rPr>
      </w:pPr>
    </w:p>
    <w:p w14:paraId="1987C9E4" w14:textId="77777777" w:rsidR="00452679" w:rsidRDefault="0049724C">
      <w:pPr>
        <w:spacing w:line="236" w:lineRule="auto"/>
        <w:ind w:left="1"/>
        <w:jc w:val="both"/>
        <w:rPr>
          <w:sz w:val="20"/>
          <w:szCs w:val="20"/>
        </w:rPr>
      </w:pPr>
      <w:r>
        <w:rPr>
          <w:rFonts w:eastAsia="Times New Roman"/>
          <w:sz w:val="24"/>
          <w:szCs w:val="24"/>
        </w:rPr>
        <w:t xml:space="preserve">Požární řád upravuje organizaci a zásady zabezpečení požární ochrany v obci Klíny (dále jen „obec“) dle § 15 odst. 1 nařízení vlády č. 172/2001 Sb., k </w:t>
      </w:r>
      <w:r>
        <w:rPr>
          <w:rFonts w:eastAsia="Times New Roman"/>
          <w:sz w:val="24"/>
          <w:szCs w:val="24"/>
        </w:rPr>
        <w:t>provedení zákona o požární ochraně, ve znění pozdějších předpisů.</w:t>
      </w:r>
    </w:p>
    <w:p w14:paraId="0958EC13" w14:textId="77777777" w:rsidR="00452679" w:rsidRDefault="00452679">
      <w:pPr>
        <w:spacing w:line="232" w:lineRule="exact"/>
        <w:rPr>
          <w:sz w:val="24"/>
          <w:szCs w:val="24"/>
        </w:rPr>
      </w:pPr>
    </w:p>
    <w:p w14:paraId="336549E1" w14:textId="77777777" w:rsidR="00452679" w:rsidRDefault="0049724C">
      <w:pPr>
        <w:ind w:right="19"/>
        <w:jc w:val="center"/>
        <w:rPr>
          <w:sz w:val="20"/>
          <w:szCs w:val="20"/>
        </w:rPr>
      </w:pPr>
      <w:r>
        <w:rPr>
          <w:rFonts w:eastAsia="Times New Roman"/>
          <w:b/>
          <w:bCs/>
          <w:sz w:val="24"/>
          <w:szCs w:val="24"/>
        </w:rPr>
        <w:t>Článek 2</w:t>
      </w:r>
    </w:p>
    <w:p w14:paraId="4FD00053" w14:textId="77777777" w:rsidR="00452679" w:rsidRDefault="0049724C">
      <w:pPr>
        <w:ind w:right="19"/>
        <w:jc w:val="center"/>
        <w:rPr>
          <w:sz w:val="20"/>
          <w:szCs w:val="20"/>
        </w:rPr>
      </w:pPr>
      <w:r>
        <w:rPr>
          <w:rFonts w:eastAsia="Times New Roman"/>
          <w:b/>
          <w:bCs/>
          <w:sz w:val="24"/>
          <w:szCs w:val="24"/>
        </w:rPr>
        <w:t>Vymezení činnosti osob pověřených zabezpečováním požární ochrany v obci</w:t>
      </w:r>
    </w:p>
    <w:p w14:paraId="79A943D8" w14:textId="77777777" w:rsidR="00452679" w:rsidRDefault="00452679">
      <w:pPr>
        <w:spacing w:line="288" w:lineRule="exact"/>
        <w:rPr>
          <w:sz w:val="24"/>
          <w:szCs w:val="24"/>
        </w:rPr>
      </w:pPr>
    </w:p>
    <w:p w14:paraId="6D9CB18C" w14:textId="77777777" w:rsidR="00452679" w:rsidRDefault="0049724C">
      <w:pPr>
        <w:numPr>
          <w:ilvl w:val="0"/>
          <w:numId w:val="2"/>
        </w:numPr>
        <w:tabs>
          <w:tab w:val="left" w:pos="361"/>
        </w:tabs>
        <w:spacing w:line="223" w:lineRule="auto"/>
        <w:ind w:left="361" w:hanging="361"/>
        <w:jc w:val="both"/>
        <w:rPr>
          <w:rFonts w:eastAsia="Times New Roman"/>
          <w:sz w:val="24"/>
          <w:szCs w:val="24"/>
        </w:rPr>
      </w:pPr>
      <w:r>
        <w:rPr>
          <w:rFonts w:eastAsia="Times New Roman"/>
          <w:sz w:val="24"/>
          <w:szCs w:val="24"/>
        </w:rPr>
        <w:t>Ochrana životů, zdraví a majetku občanů před požáry, živelními pohromami a jinými mimořádnými událostmi na území obce je zajištěna na základě smlouvy</w:t>
      </w:r>
      <w:r>
        <w:rPr>
          <w:rFonts w:eastAsia="Times New Roman"/>
          <w:sz w:val="32"/>
          <w:szCs w:val="32"/>
          <w:vertAlign w:val="superscript"/>
        </w:rPr>
        <w:t>1)</w:t>
      </w:r>
      <w:r>
        <w:rPr>
          <w:rFonts w:eastAsia="Times New Roman"/>
          <w:sz w:val="24"/>
          <w:szCs w:val="24"/>
        </w:rPr>
        <w:t xml:space="preserve"> společnou jednotkou Sboru dobrovolných hasičů obce Nová Ves v Horách (dále jen „JSDH Nová Ves v Horách“) podle čl. 5 této vyhlášky, a</w:t>
      </w:r>
      <w:r>
        <w:rPr>
          <w:rFonts w:eastAsia="Times New Roman"/>
          <w:sz w:val="24"/>
          <w:szCs w:val="24"/>
        </w:rPr>
        <w:t xml:space="preserve"> dále jednotkami požární ochrany uvedenými v příloze č. 1 této vyhlášky.</w:t>
      </w:r>
    </w:p>
    <w:p w14:paraId="2F544045" w14:textId="77777777" w:rsidR="00452679" w:rsidRDefault="0049724C">
      <w:pPr>
        <w:numPr>
          <w:ilvl w:val="0"/>
          <w:numId w:val="2"/>
        </w:numPr>
        <w:tabs>
          <w:tab w:val="left" w:pos="361"/>
        </w:tabs>
        <w:ind w:left="361" w:hanging="361"/>
        <w:rPr>
          <w:rFonts w:eastAsia="Times New Roman"/>
          <w:sz w:val="24"/>
          <w:szCs w:val="24"/>
        </w:rPr>
      </w:pPr>
      <w:r>
        <w:rPr>
          <w:rFonts w:eastAsia="Times New Roman"/>
          <w:sz w:val="24"/>
          <w:szCs w:val="24"/>
        </w:rPr>
        <w:t>K zabezpečení úkolů podle odst. 1 se úkoluje:</w:t>
      </w:r>
    </w:p>
    <w:p w14:paraId="4E326D02" w14:textId="77777777" w:rsidR="00452679" w:rsidRDefault="00452679">
      <w:pPr>
        <w:spacing w:line="12" w:lineRule="exact"/>
        <w:rPr>
          <w:sz w:val="24"/>
          <w:szCs w:val="24"/>
        </w:rPr>
      </w:pPr>
    </w:p>
    <w:p w14:paraId="7F8CCCAD" w14:textId="77777777" w:rsidR="00452679" w:rsidRDefault="0049724C">
      <w:pPr>
        <w:numPr>
          <w:ilvl w:val="1"/>
          <w:numId w:val="3"/>
        </w:numPr>
        <w:tabs>
          <w:tab w:val="left" w:pos="709"/>
        </w:tabs>
        <w:spacing w:line="236" w:lineRule="auto"/>
        <w:ind w:left="721" w:hanging="361"/>
        <w:jc w:val="both"/>
        <w:rPr>
          <w:rFonts w:eastAsia="Times New Roman"/>
          <w:sz w:val="24"/>
          <w:szCs w:val="24"/>
        </w:rPr>
      </w:pPr>
      <w:r>
        <w:rPr>
          <w:rFonts w:eastAsia="Times New Roman"/>
          <w:sz w:val="24"/>
          <w:szCs w:val="24"/>
        </w:rPr>
        <w:t>zastupitelstvo obce – projednáním stavu požární ochrany v obci minimálně jedenkrát za 12 měsíců a vždy po závažných mimořádných událostech majících vztah k požární ochraně,</w:t>
      </w:r>
    </w:p>
    <w:p w14:paraId="5794F8B7" w14:textId="77777777" w:rsidR="00452679" w:rsidRDefault="00452679">
      <w:pPr>
        <w:spacing w:line="14" w:lineRule="exact"/>
        <w:rPr>
          <w:rFonts w:eastAsia="Times New Roman"/>
          <w:sz w:val="24"/>
          <w:szCs w:val="24"/>
        </w:rPr>
      </w:pPr>
    </w:p>
    <w:p w14:paraId="091665AB" w14:textId="77777777" w:rsidR="00452679" w:rsidRDefault="0049724C">
      <w:pPr>
        <w:numPr>
          <w:ilvl w:val="1"/>
          <w:numId w:val="3"/>
        </w:numPr>
        <w:tabs>
          <w:tab w:val="left" w:pos="709"/>
        </w:tabs>
        <w:spacing w:line="238" w:lineRule="auto"/>
        <w:ind w:left="721" w:hanging="361"/>
        <w:jc w:val="both"/>
        <w:rPr>
          <w:rFonts w:eastAsia="Times New Roman"/>
          <w:sz w:val="24"/>
          <w:szCs w:val="24"/>
        </w:rPr>
      </w:pPr>
      <w:r>
        <w:rPr>
          <w:rFonts w:eastAsia="Times New Roman"/>
          <w:sz w:val="24"/>
          <w:szCs w:val="24"/>
        </w:rPr>
        <w:t>starosta obce – prováděním pravidelných kontrol dodržování povinností obce vyplývajících z předpisů o požární ochraně nejméně jedenkrát za 12 měsíců a předložením zprávy o úrovni požární ochrany v obci Zastupitelstvu obce.</w:t>
      </w:r>
      <w:r>
        <w:rPr>
          <w:rFonts w:eastAsia="Times New Roman"/>
          <w:sz w:val="32"/>
          <w:szCs w:val="32"/>
          <w:vertAlign w:val="superscript"/>
        </w:rPr>
        <w:t>2)</w:t>
      </w:r>
    </w:p>
    <w:p w14:paraId="3B46F4CA" w14:textId="77777777" w:rsidR="00452679" w:rsidRDefault="00452679">
      <w:pPr>
        <w:spacing w:line="200" w:lineRule="exact"/>
        <w:rPr>
          <w:rFonts w:eastAsia="Times New Roman"/>
          <w:sz w:val="24"/>
          <w:szCs w:val="24"/>
        </w:rPr>
      </w:pPr>
    </w:p>
    <w:p w14:paraId="2C29AE8B" w14:textId="77777777" w:rsidR="00452679" w:rsidRDefault="00452679">
      <w:pPr>
        <w:spacing w:line="354" w:lineRule="exact"/>
        <w:rPr>
          <w:rFonts w:eastAsia="Times New Roman"/>
          <w:sz w:val="24"/>
          <w:szCs w:val="24"/>
        </w:rPr>
      </w:pPr>
    </w:p>
    <w:p w14:paraId="5619D712" w14:textId="77777777" w:rsidR="00452679" w:rsidRDefault="0049724C">
      <w:pPr>
        <w:numPr>
          <w:ilvl w:val="0"/>
          <w:numId w:val="4"/>
        </w:numPr>
        <w:tabs>
          <w:tab w:val="left" w:pos="160"/>
        </w:tabs>
        <w:spacing w:line="230" w:lineRule="auto"/>
        <w:ind w:left="141" w:right="20" w:hanging="141"/>
        <w:jc w:val="both"/>
        <w:rPr>
          <w:rFonts w:eastAsia="Times New Roman"/>
          <w:sz w:val="26"/>
          <w:szCs w:val="26"/>
          <w:vertAlign w:val="superscript"/>
        </w:rPr>
      </w:pPr>
      <w:r>
        <w:rPr>
          <w:rFonts w:eastAsia="Times New Roman"/>
          <w:sz w:val="20"/>
          <w:szCs w:val="20"/>
        </w:rPr>
        <w:t>§ 69a odst. 1 a 2 zákona o požární ochraně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w:t>
      </w:r>
      <w:r>
        <w:rPr>
          <w:rFonts w:eastAsia="Times New Roman"/>
          <w:sz w:val="20"/>
          <w:szCs w:val="20"/>
        </w:rPr>
        <w:t>ladě smlouvy podle odstavce 1 finančně přispívá právnická osoba, podnikající fyzická osoba nebo obec, které jsou jinak povinny jednotku požární ochrany zřídit.“; obec uzavřela dne 27. 10. 2017 „Smlouvu o spolupráci při zabezpečování požární ochrany“ s obcí Nová Ves v Horách</w:t>
      </w:r>
    </w:p>
    <w:p w14:paraId="385CBFCE" w14:textId="77777777" w:rsidR="00452679" w:rsidRDefault="00452679">
      <w:pPr>
        <w:spacing w:line="11" w:lineRule="exact"/>
        <w:rPr>
          <w:rFonts w:eastAsia="Times New Roman"/>
          <w:sz w:val="26"/>
          <w:szCs w:val="26"/>
          <w:vertAlign w:val="superscript"/>
        </w:rPr>
      </w:pPr>
    </w:p>
    <w:p w14:paraId="59371BC0" w14:textId="77777777" w:rsidR="00452679" w:rsidRDefault="0049724C">
      <w:pPr>
        <w:numPr>
          <w:ilvl w:val="0"/>
          <w:numId w:val="4"/>
        </w:numPr>
        <w:tabs>
          <w:tab w:val="left" w:pos="163"/>
        </w:tabs>
        <w:spacing w:line="204" w:lineRule="auto"/>
        <w:ind w:left="141" w:right="20" w:hanging="141"/>
        <w:rPr>
          <w:rFonts w:eastAsia="Times New Roman"/>
          <w:sz w:val="26"/>
          <w:szCs w:val="26"/>
          <w:vertAlign w:val="superscript"/>
        </w:rPr>
      </w:pPr>
      <w:r>
        <w:rPr>
          <w:rFonts w:eastAsia="Times New Roman"/>
          <w:sz w:val="20"/>
          <w:szCs w:val="20"/>
        </w:rPr>
        <w:t>k tomu starosta využívá zejména zpráv vyplývajících z monitoringu úrovně požární ochrany v obci, kterou mu zpracovává na základě výše uvedené smlouvy velitel JSDH</w:t>
      </w:r>
    </w:p>
    <w:p w14:paraId="32306D64" w14:textId="77777777" w:rsidR="00452679" w:rsidRDefault="0049724C">
      <w:pPr>
        <w:spacing w:line="20" w:lineRule="exact"/>
        <w:rPr>
          <w:sz w:val="24"/>
          <w:szCs w:val="24"/>
        </w:rPr>
      </w:pPr>
      <w:r>
        <w:rPr>
          <w:noProof/>
          <w:sz w:val="24"/>
          <w:szCs w:val="24"/>
        </w:rPr>
        <mc:AlternateContent>
          <mc:Choice Requires="wps">
            <w:drawing>
              <wp:anchor distT="0" distB="0" distL="114300" distR="114300" simplePos="0" relativeHeight="251656704" behindDoc="1" locked="0" layoutInCell="0" allowOverlap="1" wp14:anchorId="665DBC58" wp14:editId="350F74E7">
                <wp:simplePos x="0" y="0"/>
                <wp:positionH relativeFrom="column">
                  <wp:posOffset>0</wp:posOffset>
                </wp:positionH>
                <wp:positionV relativeFrom="paragraph">
                  <wp:posOffset>-1515110</wp:posOffset>
                </wp:positionV>
                <wp:extent cx="18288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62DCF9" id="Shape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19.3pt" to="2in,-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" o:allowincell="f" filled="t" strokeweight=".16931mm">
                <v:stroke joinstyle="miter"/>
                <o:lock v:ext="edit" shapetype="f"/>
              </v:line>
            </w:pict>
          </mc:Fallback>
        </mc:AlternateContent>
      </w:r>
    </w:p>
    <w:p w14:paraId="06E16A9A" w14:textId="77777777" w:rsidR="00452679" w:rsidRDefault="00452679">
      <w:pPr>
        <w:sectPr w:rsidR="00452679">
          <w:pgSz w:w="11900" w:h="16838"/>
          <w:pgMar w:top="1440" w:right="1406" w:bottom="570" w:left="1419" w:header="0" w:footer="0" w:gutter="0"/>
          <w:cols w:space="708" w:equalWidth="0">
            <w:col w:w="9081"/>
          </w:cols>
        </w:sectPr>
      </w:pPr>
    </w:p>
    <w:p w14:paraId="10C33E2F" w14:textId="77777777" w:rsidR="00452679" w:rsidRDefault="0049724C">
      <w:pPr>
        <w:ind w:right="-480"/>
        <w:jc w:val="center"/>
        <w:rPr>
          <w:sz w:val="20"/>
          <w:szCs w:val="20"/>
        </w:rPr>
      </w:pPr>
      <w:bookmarkStart w:id="1" w:name="page2"/>
      <w:bookmarkEnd w:id="1"/>
      <w:r>
        <w:rPr>
          <w:rFonts w:eastAsia="Times New Roman"/>
          <w:b/>
          <w:bCs/>
          <w:sz w:val="24"/>
          <w:szCs w:val="24"/>
        </w:rPr>
        <w:lastRenderedPageBreak/>
        <w:t>Článek 3</w:t>
      </w:r>
    </w:p>
    <w:p w14:paraId="2D35594E" w14:textId="77777777" w:rsidR="00452679" w:rsidRDefault="0049724C">
      <w:pPr>
        <w:ind w:right="-480"/>
        <w:jc w:val="center"/>
        <w:rPr>
          <w:sz w:val="20"/>
          <w:szCs w:val="20"/>
        </w:rPr>
      </w:pPr>
      <w:r>
        <w:rPr>
          <w:rFonts w:eastAsia="Times New Roman"/>
          <w:b/>
          <w:bCs/>
          <w:sz w:val="24"/>
          <w:szCs w:val="24"/>
        </w:rPr>
        <w:t>Podmínky požární bezpečnosti při činnostech a v objektech se zvýšeným</w:t>
      </w:r>
    </w:p>
    <w:p w14:paraId="72AFE312" w14:textId="77777777" w:rsidR="00452679" w:rsidRDefault="0049724C">
      <w:pPr>
        <w:ind w:right="-480"/>
        <w:jc w:val="center"/>
        <w:rPr>
          <w:sz w:val="20"/>
          <w:szCs w:val="20"/>
        </w:rPr>
      </w:pPr>
      <w:r>
        <w:rPr>
          <w:rFonts w:eastAsia="Times New Roman"/>
          <w:b/>
          <w:bCs/>
          <w:sz w:val="24"/>
          <w:szCs w:val="24"/>
        </w:rPr>
        <w:t>nebezpečím vzniku požáru se zřetelem na místní situaci</w:t>
      </w:r>
    </w:p>
    <w:p w14:paraId="60A70C4B" w14:textId="77777777" w:rsidR="00452679" w:rsidRDefault="00452679">
      <w:pPr>
        <w:spacing w:line="288" w:lineRule="exact"/>
        <w:rPr>
          <w:sz w:val="20"/>
          <w:szCs w:val="20"/>
        </w:rPr>
      </w:pPr>
    </w:p>
    <w:p w14:paraId="038F82AD" w14:textId="77777777" w:rsidR="00452679" w:rsidRDefault="0049724C">
      <w:pPr>
        <w:numPr>
          <w:ilvl w:val="0"/>
          <w:numId w:val="5"/>
        </w:numPr>
        <w:tabs>
          <w:tab w:val="left" w:pos="361"/>
        </w:tabs>
        <w:spacing w:line="209" w:lineRule="auto"/>
        <w:ind w:left="361" w:right="20" w:hanging="361"/>
        <w:rPr>
          <w:rFonts w:eastAsia="Times New Roman"/>
          <w:sz w:val="24"/>
          <w:szCs w:val="24"/>
        </w:rPr>
      </w:pPr>
      <w:r>
        <w:rPr>
          <w:rFonts w:eastAsia="Times New Roman"/>
          <w:sz w:val="24"/>
          <w:szCs w:val="24"/>
        </w:rPr>
        <w:t>Podmínky zabezpečení požární ochrany v době zvýšeného nebezpečí vzniku požáru stanoví kraj svým nařízením.</w:t>
      </w:r>
      <w:r>
        <w:rPr>
          <w:rFonts w:eastAsia="Times New Roman"/>
          <w:sz w:val="32"/>
          <w:szCs w:val="32"/>
          <w:vertAlign w:val="superscript"/>
        </w:rPr>
        <w:t>3)</w:t>
      </w:r>
    </w:p>
    <w:p w14:paraId="3394C9C4" w14:textId="77777777" w:rsidR="00452679" w:rsidRDefault="00452679">
      <w:pPr>
        <w:spacing w:line="1" w:lineRule="exact"/>
        <w:rPr>
          <w:rFonts w:eastAsia="Times New Roman"/>
          <w:sz w:val="24"/>
          <w:szCs w:val="24"/>
        </w:rPr>
      </w:pPr>
    </w:p>
    <w:p w14:paraId="6E0D3067" w14:textId="77777777" w:rsidR="00452679" w:rsidRDefault="0049724C">
      <w:pPr>
        <w:numPr>
          <w:ilvl w:val="0"/>
          <w:numId w:val="5"/>
        </w:numPr>
        <w:tabs>
          <w:tab w:val="left" w:pos="361"/>
        </w:tabs>
        <w:spacing w:line="205" w:lineRule="auto"/>
        <w:ind w:left="361" w:right="20" w:hanging="361"/>
        <w:rPr>
          <w:rFonts w:eastAsia="Times New Roman"/>
          <w:sz w:val="24"/>
          <w:szCs w:val="24"/>
        </w:rPr>
      </w:pPr>
      <w:r>
        <w:rPr>
          <w:rFonts w:eastAsia="Times New Roman"/>
          <w:sz w:val="24"/>
          <w:szCs w:val="24"/>
        </w:rPr>
        <w:t>Podmínky k zabezpečení požární ochrany při akcích, kterých se zúčastňuje větší počet osob, stanoví kraj svým nařízením.</w:t>
      </w:r>
      <w:r>
        <w:rPr>
          <w:rFonts w:eastAsia="Times New Roman"/>
          <w:sz w:val="32"/>
          <w:szCs w:val="32"/>
          <w:vertAlign w:val="superscript"/>
        </w:rPr>
        <w:t>4)</w:t>
      </w:r>
    </w:p>
    <w:p w14:paraId="0B06D535" w14:textId="77777777" w:rsidR="00452679" w:rsidRDefault="00452679">
      <w:pPr>
        <w:spacing w:line="1" w:lineRule="exact"/>
        <w:rPr>
          <w:rFonts w:eastAsia="Times New Roman"/>
          <w:sz w:val="24"/>
          <w:szCs w:val="24"/>
        </w:rPr>
      </w:pPr>
    </w:p>
    <w:p w14:paraId="202E1A6A" w14:textId="77777777" w:rsidR="00452679" w:rsidRDefault="0049724C">
      <w:pPr>
        <w:numPr>
          <w:ilvl w:val="0"/>
          <w:numId w:val="5"/>
        </w:numPr>
        <w:tabs>
          <w:tab w:val="left" w:pos="361"/>
        </w:tabs>
        <w:spacing w:line="233" w:lineRule="auto"/>
        <w:ind w:left="361" w:right="20" w:hanging="361"/>
        <w:jc w:val="both"/>
        <w:rPr>
          <w:rFonts w:eastAsia="Times New Roman"/>
          <w:sz w:val="24"/>
          <w:szCs w:val="24"/>
        </w:rPr>
      </w:pPr>
      <w:r>
        <w:rPr>
          <w:rFonts w:eastAsia="Times New Roman"/>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23B804EA" w14:textId="77777777" w:rsidR="00452679" w:rsidRDefault="00452679">
      <w:pPr>
        <w:spacing w:line="278" w:lineRule="exact"/>
        <w:rPr>
          <w:sz w:val="20"/>
          <w:szCs w:val="20"/>
        </w:rPr>
      </w:pPr>
    </w:p>
    <w:p w14:paraId="65A14585" w14:textId="77777777" w:rsidR="00452679" w:rsidRDefault="0049724C">
      <w:pPr>
        <w:ind w:right="19"/>
        <w:jc w:val="center"/>
        <w:rPr>
          <w:sz w:val="20"/>
          <w:szCs w:val="20"/>
        </w:rPr>
      </w:pPr>
      <w:r>
        <w:rPr>
          <w:rFonts w:eastAsia="Times New Roman"/>
          <w:b/>
          <w:bCs/>
          <w:sz w:val="24"/>
          <w:szCs w:val="24"/>
        </w:rPr>
        <w:t>Článek 4</w:t>
      </w:r>
    </w:p>
    <w:p w14:paraId="76F4E837" w14:textId="77777777" w:rsidR="00452679" w:rsidRDefault="00452679">
      <w:pPr>
        <w:spacing w:line="1" w:lineRule="exact"/>
        <w:rPr>
          <w:sz w:val="20"/>
          <w:szCs w:val="20"/>
        </w:rPr>
      </w:pPr>
    </w:p>
    <w:p w14:paraId="2C7D6B36" w14:textId="77777777" w:rsidR="00452679" w:rsidRDefault="0049724C">
      <w:pPr>
        <w:ind w:right="19"/>
        <w:jc w:val="center"/>
        <w:rPr>
          <w:sz w:val="20"/>
          <w:szCs w:val="20"/>
        </w:rPr>
      </w:pPr>
      <w:r>
        <w:rPr>
          <w:rFonts w:eastAsia="Times New Roman"/>
          <w:b/>
          <w:bCs/>
          <w:sz w:val="24"/>
          <w:szCs w:val="24"/>
        </w:rPr>
        <w:t>Způsob nepřetržitého zabezpečení požární ochrany v obci</w:t>
      </w:r>
    </w:p>
    <w:p w14:paraId="6286B960" w14:textId="77777777" w:rsidR="00452679" w:rsidRDefault="00452679">
      <w:pPr>
        <w:spacing w:line="288" w:lineRule="exact"/>
        <w:rPr>
          <w:sz w:val="20"/>
          <w:szCs w:val="20"/>
        </w:rPr>
      </w:pPr>
    </w:p>
    <w:p w14:paraId="65829202" w14:textId="77777777" w:rsidR="00452679" w:rsidRDefault="0049724C">
      <w:pPr>
        <w:numPr>
          <w:ilvl w:val="0"/>
          <w:numId w:val="6"/>
        </w:numPr>
        <w:tabs>
          <w:tab w:val="left" w:pos="361"/>
        </w:tabs>
        <w:spacing w:line="236" w:lineRule="auto"/>
        <w:ind w:left="361" w:right="20" w:hanging="361"/>
        <w:jc w:val="both"/>
        <w:rPr>
          <w:rFonts w:eastAsia="Times New Roman"/>
          <w:sz w:val="24"/>
          <w:szCs w:val="24"/>
        </w:rPr>
      </w:pPr>
      <w:r>
        <w:rPr>
          <w:rFonts w:eastAsia="Times New Roman"/>
          <w:sz w:val="24"/>
          <w:szCs w:val="24"/>
        </w:rPr>
        <w:t>Ochrana životů, zdraví a majetku občanů před požáry, živelními pohromami a jinými mimořádnými událostmi na území obce je zabezpečena jednotkami požární ochrany, uvedenými v čl. 2 odst. 1, čl. 5 a příloze č. 1 této vyhlášky.</w:t>
      </w:r>
    </w:p>
    <w:p w14:paraId="5D283369" w14:textId="77777777" w:rsidR="00452679" w:rsidRDefault="00452679">
      <w:pPr>
        <w:spacing w:line="13" w:lineRule="exact"/>
        <w:rPr>
          <w:rFonts w:eastAsia="Times New Roman"/>
          <w:sz w:val="24"/>
          <w:szCs w:val="24"/>
        </w:rPr>
      </w:pPr>
    </w:p>
    <w:p w14:paraId="6A49376E" w14:textId="77777777" w:rsidR="00452679" w:rsidRDefault="0049724C">
      <w:pPr>
        <w:numPr>
          <w:ilvl w:val="0"/>
          <w:numId w:val="6"/>
        </w:numPr>
        <w:tabs>
          <w:tab w:val="left" w:pos="361"/>
        </w:tabs>
        <w:spacing w:line="234" w:lineRule="auto"/>
        <w:ind w:left="361" w:right="20" w:hanging="361"/>
        <w:rPr>
          <w:rFonts w:eastAsia="Times New Roman"/>
          <w:sz w:val="24"/>
          <w:szCs w:val="24"/>
        </w:rPr>
      </w:pPr>
      <w:r>
        <w:rPr>
          <w:rFonts w:eastAsia="Times New Roman"/>
          <w:sz w:val="24"/>
          <w:szCs w:val="24"/>
        </w:rPr>
        <w:t>Přijetí ohlášení požáru, živelní pohromy či jiné mimořádné události je zabezpečeno ohlašovnou požárů uvedenou v čl. 7 této vyhlášky.</w:t>
      </w:r>
    </w:p>
    <w:p w14:paraId="15E07392" w14:textId="77777777" w:rsidR="00452679" w:rsidRDefault="00452679">
      <w:pPr>
        <w:spacing w:line="278" w:lineRule="exact"/>
        <w:rPr>
          <w:sz w:val="20"/>
          <w:szCs w:val="20"/>
        </w:rPr>
      </w:pPr>
    </w:p>
    <w:p w14:paraId="5EBE5E23" w14:textId="77777777" w:rsidR="00452679" w:rsidRDefault="0049724C">
      <w:pPr>
        <w:ind w:left="4121"/>
        <w:rPr>
          <w:sz w:val="20"/>
          <w:szCs w:val="20"/>
        </w:rPr>
      </w:pPr>
      <w:r>
        <w:rPr>
          <w:rFonts w:eastAsia="Times New Roman"/>
          <w:b/>
          <w:bCs/>
          <w:sz w:val="24"/>
          <w:szCs w:val="24"/>
        </w:rPr>
        <w:t>Článek 5</w:t>
      </w:r>
    </w:p>
    <w:p w14:paraId="482E4419" w14:textId="77777777" w:rsidR="00452679" w:rsidRDefault="0049724C">
      <w:pPr>
        <w:ind w:left="1661"/>
        <w:rPr>
          <w:sz w:val="20"/>
          <w:szCs w:val="20"/>
        </w:rPr>
      </w:pPr>
      <w:r>
        <w:rPr>
          <w:rFonts w:eastAsia="Times New Roman"/>
          <w:b/>
          <w:bCs/>
          <w:sz w:val="24"/>
          <w:szCs w:val="24"/>
        </w:rPr>
        <w:t>JSDH Nová Ves v Horách, kategorie, početní stav a vybavení</w:t>
      </w:r>
    </w:p>
    <w:p w14:paraId="31F755B0" w14:textId="77777777" w:rsidR="00452679" w:rsidRDefault="00452679">
      <w:pPr>
        <w:spacing w:line="288" w:lineRule="exact"/>
        <w:rPr>
          <w:sz w:val="20"/>
          <w:szCs w:val="20"/>
        </w:rPr>
      </w:pPr>
    </w:p>
    <w:p w14:paraId="789F1C46" w14:textId="77777777" w:rsidR="00452679" w:rsidRDefault="0049724C">
      <w:pPr>
        <w:spacing w:line="234" w:lineRule="auto"/>
        <w:ind w:left="1" w:right="20"/>
        <w:rPr>
          <w:sz w:val="20"/>
          <w:szCs w:val="20"/>
        </w:rPr>
      </w:pPr>
      <w:r>
        <w:rPr>
          <w:rFonts w:eastAsia="Times New Roman"/>
          <w:sz w:val="24"/>
          <w:szCs w:val="24"/>
        </w:rPr>
        <w:t>Dislokace, kategorie a početní stav JSDH Nová Ves v Horách a její vybavení požární technikou a věcnými prostředky jsou uvedeny v příloze č. 2 této vyhlášky.</w:t>
      </w:r>
    </w:p>
    <w:p w14:paraId="0B0C9362" w14:textId="77777777" w:rsidR="00452679" w:rsidRDefault="00452679">
      <w:pPr>
        <w:spacing w:line="278" w:lineRule="exact"/>
        <w:rPr>
          <w:sz w:val="20"/>
          <w:szCs w:val="20"/>
        </w:rPr>
      </w:pPr>
    </w:p>
    <w:p w14:paraId="7C7EC414" w14:textId="77777777" w:rsidR="00452679" w:rsidRDefault="0049724C">
      <w:pPr>
        <w:ind w:right="-100"/>
        <w:jc w:val="center"/>
        <w:rPr>
          <w:sz w:val="20"/>
          <w:szCs w:val="20"/>
        </w:rPr>
      </w:pPr>
      <w:r>
        <w:rPr>
          <w:rFonts w:eastAsia="Times New Roman"/>
          <w:b/>
          <w:bCs/>
          <w:sz w:val="24"/>
          <w:szCs w:val="24"/>
        </w:rPr>
        <w:t>Článek 6</w:t>
      </w:r>
    </w:p>
    <w:p w14:paraId="26353D49" w14:textId="77777777" w:rsidR="00452679" w:rsidRDefault="0049724C">
      <w:pPr>
        <w:ind w:right="19"/>
        <w:jc w:val="center"/>
        <w:rPr>
          <w:sz w:val="20"/>
          <w:szCs w:val="20"/>
        </w:rPr>
      </w:pPr>
      <w:r>
        <w:rPr>
          <w:rFonts w:eastAsia="Times New Roman"/>
          <w:b/>
          <w:bCs/>
          <w:sz w:val="24"/>
          <w:szCs w:val="24"/>
        </w:rPr>
        <w:t xml:space="preserve">Přehled o zdrojích vody </w:t>
      </w:r>
      <w:r>
        <w:rPr>
          <w:rFonts w:eastAsia="Times New Roman"/>
          <w:b/>
          <w:bCs/>
          <w:sz w:val="24"/>
          <w:szCs w:val="24"/>
        </w:rPr>
        <w:t>pro hašení požárů</w:t>
      </w:r>
    </w:p>
    <w:p w14:paraId="637CE379" w14:textId="77777777" w:rsidR="00452679" w:rsidRDefault="0049724C">
      <w:pPr>
        <w:ind w:right="19"/>
        <w:jc w:val="center"/>
        <w:rPr>
          <w:sz w:val="20"/>
          <w:szCs w:val="20"/>
        </w:rPr>
      </w:pPr>
      <w:r>
        <w:rPr>
          <w:rFonts w:eastAsia="Times New Roman"/>
          <w:b/>
          <w:bCs/>
          <w:sz w:val="24"/>
          <w:szCs w:val="24"/>
        </w:rPr>
        <w:t>a podmínky pro zajištění jejich trvalé použitelnosti</w:t>
      </w:r>
    </w:p>
    <w:p w14:paraId="492F7D83" w14:textId="77777777" w:rsidR="00452679" w:rsidRDefault="00452679">
      <w:pPr>
        <w:spacing w:line="206" w:lineRule="exact"/>
        <w:rPr>
          <w:sz w:val="20"/>
          <w:szCs w:val="20"/>
        </w:rPr>
      </w:pPr>
    </w:p>
    <w:p w14:paraId="3DEEDB4A" w14:textId="77777777" w:rsidR="00452679" w:rsidRDefault="0049724C">
      <w:pPr>
        <w:numPr>
          <w:ilvl w:val="0"/>
          <w:numId w:val="7"/>
        </w:numPr>
        <w:tabs>
          <w:tab w:val="left" w:pos="361"/>
        </w:tabs>
        <w:ind w:left="361" w:hanging="361"/>
        <w:rPr>
          <w:rFonts w:eastAsia="Times New Roman"/>
          <w:sz w:val="24"/>
          <w:szCs w:val="24"/>
        </w:rPr>
      </w:pPr>
      <w:r>
        <w:rPr>
          <w:rFonts w:eastAsia="Times New Roman"/>
          <w:sz w:val="24"/>
          <w:szCs w:val="24"/>
        </w:rPr>
        <w:t>Zdroje vody pro hašení požárů stanoví kraj svým nařízením.</w:t>
      </w:r>
      <w:r>
        <w:rPr>
          <w:rFonts w:eastAsia="Times New Roman"/>
          <w:sz w:val="32"/>
          <w:szCs w:val="32"/>
          <w:vertAlign w:val="superscript"/>
        </w:rPr>
        <w:t>5)</w:t>
      </w:r>
    </w:p>
    <w:p w14:paraId="0F5F716A" w14:textId="77777777" w:rsidR="00452679" w:rsidRDefault="0049724C">
      <w:pPr>
        <w:numPr>
          <w:ilvl w:val="0"/>
          <w:numId w:val="7"/>
        </w:numPr>
        <w:tabs>
          <w:tab w:val="left" w:pos="361"/>
        </w:tabs>
        <w:spacing w:line="220" w:lineRule="auto"/>
        <w:ind w:left="361" w:hanging="361"/>
        <w:rPr>
          <w:rFonts w:eastAsia="Times New Roman"/>
          <w:sz w:val="24"/>
          <w:szCs w:val="24"/>
        </w:rPr>
      </w:pPr>
      <w:r>
        <w:rPr>
          <w:rFonts w:eastAsia="Times New Roman"/>
          <w:sz w:val="24"/>
          <w:szCs w:val="24"/>
        </w:rPr>
        <w:t>Obec nad rámec výše uvedeného nařízení nestanoví další zdroj vody pro hašení požárů.</w:t>
      </w:r>
    </w:p>
    <w:p w14:paraId="5B8EA694" w14:textId="77777777" w:rsidR="00452679" w:rsidRDefault="0049724C">
      <w:pPr>
        <w:numPr>
          <w:ilvl w:val="0"/>
          <w:numId w:val="7"/>
        </w:numPr>
        <w:tabs>
          <w:tab w:val="left" w:pos="361"/>
        </w:tabs>
        <w:ind w:left="361" w:hanging="361"/>
        <w:rPr>
          <w:rFonts w:eastAsia="Times New Roman"/>
          <w:sz w:val="24"/>
          <w:szCs w:val="24"/>
        </w:rPr>
      </w:pPr>
      <w:r>
        <w:rPr>
          <w:rFonts w:eastAsia="Times New Roman"/>
          <w:sz w:val="24"/>
          <w:szCs w:val="24"/>
        </w:rPr>
        <w:t>Zdroj dle odst. 1 je graficky zobrazen v příloze č. 3 této vyhlášky.</w:t>
      </w:r>
    </w:p>
    <w:p w14:paraId="0A996904" w14:textId="77777777" w:rsidR="00452679" w:rsidRDefault="0049724C">
      <w:pPr>
        <w:numPr>
          <w:ilvl w:val="0"/>
          <w:numId w:val="7"/>
        </w:numPr>
        <w:tabs>
          <w:tab w:val="left" w:pos="361"/>
        </w:tabs>
        <w:ind w:left="361" w:hanging="361"/>
        <w:rPr>
          <w:rFonts w:eastAsia="Times New Roman"/>
          <w:sz w:val="24"/>
          <w:szCs w:val="24"/>
        </w:rPr>
      </w:pPr>
      <w:r>
        <w:rPr>
          <w:rFonts w:eastAsia="Times New Roman"/>
          <w:sz w:val="24"/>
          <w:szCs w:val="24"/>
        </w:rPr>
        <w:t>Povinnosti vztahující se ke zdrojům vody pro hašení požárů jsou upraveny zákonem.</w:t>
      </w:r>
      <w:r>
        <w:rPr>
          <w:rFonts w:eastAsia="Times New Roman"/>
          <w:sz w:val="32"/>
          <w:szCs w:val="32"/>
          <w:vertAlign w:val="superscript"/>
        </w:rPr>
        <w:t>6)</w:t>
      </w:r>
    </w:p>
    <w:p w14:paraId="3A5E6B7C" w14:textId="77777777" w:rsidR="00452679" w:rsidRDefault="0049724C">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2D04A234" wp14:editId="25CF6807">
                <wp:simplePos x="0" y="0"/>
                <wp:positionH relativeFrom="column">
                  <wp:posOffset>0</wp:posOffset>
                </wp:positionH>
                <wp:positionV relativeFrom="paragraph">
                  <wp:posOffset>194310</wp:posOffset>
                </wp:positionV>
                <wp:extent cx="18288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0CB386" id="Shape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0,15.3pt" to="2in,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" o:allowincell="f" filled="t" strokeweight=".16931mm">
                <v:stroke joinstyle="miter"/>
                <o:lock v:ext="edit" shapetype="f"/>
              </v:line>
            </w:pict>
          </mc:Fallback>
        </mc:AlternateContent>
      </w:r>
    </w:p>
    <w:p w14:paraId="534E5441" w14:textId="77777777" w:rsidR="00452679" w:rsidRDefault="00452679">
      <w:pPr>
        <w:spacing w:line="386" w:lineRule="exact"/>
        <w:rPr>
          <w:sz w:val="20"/>
          <w:szCs w:val="20"/>
        </w:rPr>
      </w:pPr>
    </w:p>
    <w:p w14:paraId="7F032424" w14:textId="77777777" w:rsidR="00452679" w:rsidRDefault="0049724C">
      <w:pPr>
        <w:numPr>
          <w:ilvl w:val="0"/>
          <w:numId w:val="8"/>
        </w:numPr>
        <w:tabs>
          <w:tab w:val="left" w:pos="175"/>
        </w:tabs>
        <w:spacing w:line="203" w:lineRule="auto"/>
        <w:ind w:left="141" w:right="20" w:hanging="141"/>
        <w:rPr>
          <w:rFonts w:eastAsia="Times New Roman"/>
          <w:sz w:val="26"/>
          <w:szCs w:val="26"/>
          <w:vertAlign w:val="superscript"/>
        </w:rPr>
      </w:pPr>
      <w:r>
        <w:rPr>
          <w:rFonts w:eastAsia="Times New Roman"/>
          <w:sz w:val="20"/>
          <w:szCs w:val="20"/>
        </w:rPr>
        <w:t>nařízení Ústeckého kraje č. 5/2003, ze dne 12. 11. 2003, kterým se stanoví podmínky k zabezpečení požární ochrany v době zvýšeného nebezpečí vzniku požárů</w:t>
      </w:r>
    </w:p>
    <w:p w14:paraId="368E73D0" w14:textId="77777777" w:rsidR="00452679" w:rsidRDefault="00452679">
      <w:pPr>
        <w:spacing w:line="13" w:lineRule="exact"/>
        <w:rPr>
          <w:rFonts w:eastAsia="Times New Roman"/>
          <w:sz w:val="26"/>
          <w:szCs w:val="26"/>
          <w:vertAlign w:val="superscript"/>
        </w:rPr>
      </w:pPr>
    </w:p>
    <w:p w14:paraId="11FDBA6C" w14:textId="77777777" w:rsidR="00452679" w:rsidRDefault="0049724C">
      <w:pPr>
        <w:numPr>
          <w:ilvl w:val="0"/>
          <w:numId w:val="8"/>
        </w:numPr>
        <w:tabs>
          <w:tab w:val="left" w:pos="164"/>
        </w:tabs>
        <w:spacing w:line="202" w:lineRule="auto"/>
        <w:ind w:left="161" w:right="20" w:hanging="161"/>
        <w:rPr>
          <w:rFonts w:eastAsia="Times New Roman"/>
          <w:sz w:val="26"/>
          <w:szCs w:val="26"/>
          <w:vertAlign w:val="superscript"/>
        </w:rPr>
      </w:pPr>
      <w:r>
        <w:rPr>
          <w:rFonts w:eastAsia="Times New Roman"/>
          <w:sz w:val="20"/>
          <w:szCs w:val="20"/>
        </w:rPr>
        <w:t>nařízení Ústeckého kraje č. 7/2003, ze dne 12. 11. 2003, kterým se stanoví podmínky k zabezpečení požární ochrany při akcích, kterých se zúčastňuje větší počet osob</w:t>
      </w:r>
    </w:p>
    <w:p w14:paraId="4DE57C21" w14:textId="77777777" w:rsidR="00452679" w:rsidRDefault="00452679">
      <w:pPr>
        <w:spacing w:line="13" w:lineRule="exact"/>
        <w:rPr>
          <w:rFonts w:eastAsia="Times New Roman"/>
          <w:sz w:val="26"/>
          <w:szCs w:val="26"/>
          <w:vertAlign w:val="superscript"/>
        </w:rPr>
      </w:pPr>
    </w:p>
    <w:p w14:paraId="77D7CEFC" w14:textId="77777777" w:rsidR="00452679" w:rsidRDefault="0049724C">
      <w:pPr>
        <w:numPr>
          <w:ilvl w:val="0"/>
          <w:numId w:val="8"/>
        </w:numPr>
        <w:tabs>
          <w:tab w:val="left" w:pos="177"/>
        </w:tabs>
        <w:spacing w:line="205" w:lineRule="auto"/>
        <w:ind w:left="141" w:hanging="141"/>
        <w:jc w:val="both"/>
        <w:rPr>
          <w:rFonts w:eastAsia="Times New Roman"/>
          <w:sz w:val="26"/>
          <w:szCs w:val="26"/>
          <w:vertAlign w:val="superscript"/>
        </w:rPr>
      </w:pPr>
      <w:r>
        <w:rPr>
          <w:rFonts w:eastAsia="Times New Roman"/>
          <w:sz w:val="20"/>
          <w:szCs w:val="20"/>
        </w:rPr>
        <w:t>nařízení Ústeckého kraje č. 8/2012, kterým se stanoví podmínky k za</w:t>
      </w:r>
      <w:r>
        <w:rPr>
          <w:rFonts w:eastAsia="Times New Roman"/>
          <w:sz w:val="20"/>
          <w:szCs w:val="20"/>
        </w:rPr>
        <w:t xml:space="preserve">bezpečení zdrojů vody k hašení požárů na území Ústeckého kraje, ze dne 29. 2. 2012; toto nařízení stanoví následující zdroj vody k hašení požárů pro obec Klíny: </w:t>
      </w:r>
      <w:r>
        <w:rPr>
          <w:rFonts w:eastAsia="Times New Roman"/>
          <w:b/>
          <w:bCs/>
          <w:sz w:val="20"/>
          <w:szCs w:val="20"/>
        </w:rPr>
        <w:t>nádrž</w:t>
      </w:r>
      <w:r>
        <w:rPr>
          <w:rFonts w:eastAsia="Times New Roman"/>
          <w:sz w:val="20"/>
          <w:szCs w:val="20"/>
        </w:rPr>
        <w:t xml:space="preserve"> – koupaliště – centrální parkoviště, 500 m</w:t>
      </w:r>
      <w:r>
        <w:rPr>
          <w:rFonts w:eastAsia="Times New Roman"/>
          <w:sz w:val="25"/>
          <w:szCs w:val="25"/>
          <w:vertAlign w:val="superscript"/>
        </w:rPr>
        <w:t>3</w:t>
      </w:r>
      <w:r>
        <w:rPr>
          <w:rFonts w:eastAsia="Times New Roman"/>
          <w:sz w:val="20"/>
          <w:szCs w:val="20"/>
        </w:rPr>
        <w:t xml:space="preserve"> (obec)</w:t>
      </w:r>
    </w:p>
    <w:p w14:paraId="2D2C80F3" w14:textId="77777777" w:rsidR="00452679" w:rsidRDefault="00452679">
      <w:pPr>
        <w:spacing w:line="1" w:lineRule="exact"/>
        <w:rPr>
          <w:rFonts w:eastAsia="Times New Roman"/>
          <w:sz w:val="26"/>
          <w:szCs w:val="26"/>
          <w:vertAlign w:val="superscript"/>
        </w:rPr>
      </w:pPr>
    </w:p>
    <w:p w14:paraId="1F5BB73B" w14:textId="77777777" w:rsidR="00452679" w:rsidRDefault="0049724C">
      <w:pPr>
        <w:numPr>
          <w:ilvl w:val="0"/>
          <w:numId w:val="8"/>
        </w:numPr>
        <w:tabs>
          <w:tab w:val="left" w:pos="159"/>
        </w:tabs>
        <w:spacing w:line="227" w:lineRule="auto"/>
        <w:ind w:left="161" w:hanging="161"/>
        <w:jc w:val="both"/>
        <w:rPr>
          <w:rFonts w:eastAsia="Times New Roman"/>
          <w:sz w:val="26"/>
          <w:szCs w:val="26"/>
          <w:vertAlign w:val="superscript"/>
        </w:rPr>
      </w:pPr>
      <w:r>
        <w:rPr>
          <w:rFonts w:eastAsia="Times New Roman"/>
          <w:sz w:val="20"/>
          <w:szCs w:val="20"/>
        </w:rPr>
        <w:t>např. § 7 odst. 1 zákona o požární ochraně („</w:t>
      </w:r>
      <w:r>
        <w:rPr>
          <w:rFonts w:eastAsia="Times New Roman"/>
          <w:i/>
          <w:iCs/>
          <w:sz w:val="20"/>
          <w:szCs w:val="20"/>
        </w:rPr>
        <w:t>Vlastník nebo uživatel zdrojů vody pro hašení požárů je povinen tyto udržovat v takovém stavu, aby bylo umožněno použití požární techniky a čerpání vody pro hašení požárů.</w:t>
      </w:r>
      <w:r>
        <w:rPr>
          <w:rFonts w:eastAsia="Times New Roman"/>
          <w:sz w:val="20"/>
          <w:szCs w:val="20"/>
        </w:rPr>
        <w:t>“), § 5 odst. 1 písm. b) zákona o požární ochraně („</w:t>
      </w:r>
      <w:r>
        <w:rPr>
          <w:rFonts w:eastAsia="Times New Roman"/>
          <w:i/>
          <w:iCs/>
          <w:sz w:val="20"/>
          <w:szCs w:val="20"/>
        </w:rPr>
        <w:t xml:space="preserve">Právnické osoby a </w:t>
      </w:r>
      <w:r>
        <w:rPr>
          <w:rFonts w:eastAsia="Times New Roman"/>
          <w:i/>
          <w:iCs/>
          <w:sz w:val="20"/>
          <w:szCs w:val="20"/>
        </w:rPr>
        <w:t>podnikající fyzické osoby jsou povinny vytvářet podmínky pro hašení požárů a pro záchranné práce, zejména udržovat volné příjezdové komunikace a nástupní plochy pro požární techniku, únikové cesty a volný přístup k nouzovým východům, k rozvodným zařízením elektrické energie, k uzávěrům vody, plynu, topení a produktovodům, k věcným prostředkům požární ochrany a k ručnímu ovládání požárně bezpečnostních zařízení.</w:t>
      </w:r>
      <w:r>
        <w:rPr>
          <w:rFonts w:eastAsia="Times New Roman"/>
          <w:sz w:val="20"/>
          <w:szCs w:val="20"/>
        </w:rPr>
        <w:t>“); § 17 odst. 1 písm. b) a</w:t>
      </w:r>
    </w:p>
    <w:p w14:paraId="1C911AD1" w14:textId="77777777" w:rsidR="00452679" w:rsidRDefault="00452679">
      <w:pPr>
        <w:spacing w:line="12" w:lineRule="exact"/>
        <w:rPr>
          <w:rFonts w:eastAsia="Times New Roman"/>
          <w:sz w:val="26"/>
          <w:szCs w:val="26"/>
          <w:vertAlign w:val="superscript"/>
        </w:rPr>
      </w:pPr>
    </w:p>
    <w:p w14:paraId="05BE893D" w14:textId="77777777" w:rsidR="00452679" w:rsidRDefault="0049724C">
      <w:pPr>
        <w:numPr>
          <w:ilvl w:val="1"/>
          <w:numId w:val="8"/>
        </w:numPr>
        <w:tabs>
          <w:tab w:val="left" w:pos="396"/>
        </w:tabs>
        <w:spacing w:line="237" w:lineRule="auto"/>
        <w:ind w:left="161" w:right="20" w:firstLine="9"/>
        <w:jc w:val="both"/>
        <w:rPr>
          <w:rFonts w:eastAsia="Times New Roman"/>
          <w:sz w:val="20"/>
          <w:szCs w:val="20"/>
        </w:rPr>
      </w:pPr>
      <w:r>
        <w:rPr>
          <w:rFonts w:eastAsia="Times New Roman"/>
          <w:sz w:val="20"/>
          <w:szCs w:val="20"/>
        </w:rPr>
        <w:t>zákona o požární ochraně („</w:t>
      </w:r>
      <w:r>
        <w:rPr>
          <w:rFonts w:eastAsia="Times New Roman"/>
          <w:i/>
          <w:iCs/>
          <w:sz w:val="20"/>
          <w:szCs w:val="20"/>
        </w:rPr>
        <w:t>Fyzická osoba je povinna zajistit přístup k uzávěrům vody a zajistit přístup k požárně bezpečnostním zařízením a věcným prostředkům požární ochrany za účelem jejich včasného použití a dále udržovat tato zařízení a věcné prostředky v provozuschopném stavu; uvedené povinnosti se vztahují na osoby, které mají uvedená zařízení a věcné prostředky ve vlastnictví či užívání.</w:t>
      </w:r>
      <w:r>
        <w:rPr>
          <w:rFonts w:eastAsia="Times New Roman"/>
          <w:sz w:val="20"/>
          <w:szCs w:val="20"/>
        </w:rPr>
        <w:t>“)</w:t>
      </w:r>
    </w:p>
    <w:p w14:paraId="79A39D4F" w14:textId="77777777" w:rsidR="00452679" w:rsidRDefault="00452679">
      <w:pPr>
        <w:sectPr w:rsidR="00452679">
          <w:pgSz w:w="11900" w:h="16838"/>
          <w:pgMar w:top="1415" w:right="1406" w:bottom="572" w:left="1419" w:header="0" w:footer="0" w:gutter="0"/>
          <w:cols w:space="708" w:equalWidth="0">
            <w:col w:w="9081"/>
          </w:cols>
        </w:sectPr>
      </w:pPr>
    </w:p>
    <w:p w14:paraId="14D6C9BA" w14:textId="77777777" w:rsidR="00452679" w:rsidRDefault="00452679">
      <w:pPr>
        <w:spacing w:line="252" w:lineRule="exact"/>
        <w:rPr>
          <w:sz w:val="20"/>
          <w:szCs w:val="20"/>
        </w:rPr>
      </w:pPr>
      <w:bookmarkStart w:id="2" w:name="page3"/>
      <w:bookmarkEnd w:id="2"/>
    </w:p>
    <w:p w14:paraId="0F0598F3" w14:textId="77777777" w:rsidR="00452679" w:rsidRDefault="0049724C">
      <w:pPr>
        <w:ind w:right="19"/>
        <w:jc w:val="center"/>
        <w:rPr>
          <w:sz w:val="20"/>
          <w:szCs w:val="20"/>
        </w:rPr>
      </w:pPr>
      <w:r>
        <w:rPr>
          <w:rFonts w:eastAsia="Times New Roman"/>
          <w:b/>
          <w:bCs/>
          <w:sz w:val="24"/>
          <w:szCs w:val="24"/>
        </w:rPr>
        <w:t>Článek 7</w:t>
      </w:r>
    </w:p>
    <w:p w14:paraId="64C9547A" w14:textId="77777777" w:rsidR="00452679" w:rsidRDefault="0049724C">
      <w:pPr>
        <w:ind w:right="19"/>
        <w:jc w:val="center"/>
        <w:rPr>
          <w:sz w:val="20"/>
          <w:szCs w:val="20"/>
        </w:rPr>
      </w:pPr>
      <w:r>
        <w:rPr>
          <w:rFonts w:eastAsia="Times New Roman"/>
          <w:b/>
          <w:bCs/>
          <w:sz w:val="24"/>
          <w:szCs w:val="24"/>
        </w:rPr>
        <w:t>Systém ohlašoven požárů a dalších míst, odkud lze hlásit požár a způsob jejich označení</w:t>
      </w:r>
    </w:p>
    <w:p w14:paraId="1ABAC0FC" w14:textId="77777777" w:rsidR="00452679" w:rsidRDefault="00452679">
      <w:pPr>
        <w:spacing w:line="268" w:lineRule="exact"/>
        <w:rPr>
          <w:sz w:val="20"/>
          <w:szCs w:val="20"/>
        </w:rPr>
      </w:pPr>
    </w:p>
    <w:p w14:paraId="098A5645" w14:textId="77777777" w:rsidR="00452679" w:rsidRDefault="0049724C">
      <w:pPr>
        <w:numPr>
          <w:ilvl w:val="0"/>
          <w:numId w:val="9"/>
        </w:numPr>
        <w:tabs>
          <w:tab w:val="left" w:pos="361"/>
        </w:tabs>
        <w:spacing w:line="218" w:lineRule="auto"/>
        <w:ind w:left="361" w:hanging="361"/>
        <w:jc w:val="both"/>
        <w:rPr>
          <w:rFonts w:eastAsia="Times New Roman"/>
          <w:sz w:val="24"/>
          <w:szCs w:val="24"/>
        </w:rPr>
      </w:pPr>
      <w:r>
        <w:rPr>
          <w:rFonts w:eastAsia="Times New Roman"/>
          <w:sz w:val="24"/>
          <w:szCs w:val="24"/>
        </w:rPr>
        <w:t>Obec zřizuje ohlašovnu požárů</w:t>
      </w:r>
      <w:r>
        <w:rPr>
          <w:rFonts w:eastAsia="Times New Roman"/>
          <w:sz w:val="32"/>
          <w:szCs w:val="32"/>
          <w:vertAlign w:val="superscript"/>
        </w:rPr>
        <w:t>7)</w:t>
      </w:r>
      <w:r>
        <w:rPr>
          <w:rFonts w:eastAsia="Times New Roman"/>
          <w:sz w:val="24"/>
          <w:szCs w:val="24"/>
        </w:rPr>
        <w:t>, která je</w:t>
      </w:r>
      <w:r>
        <w:rPr>
          <w:rFonts w:eastAsia="Times New Roman"/>
          <w:sz w:val="24"/>
          <w:szCs w:val="24"/>
        </w:rPr>
        <w:t xml:space="preserve"> trvale označena tabulkou „Ohlašovna požárů“, která se nachází v budově hotelu EMERAN na adrese Klíny, část Rašov č. p. 210, 436 01 Litvínov, telefonní číslo 476 116 025 (činnost ohlašovny zajištěna 24 hodin).</w:t>
      </w:r>
    </w:p>
    <w:p w14:paraId="1B1C5CED" w14:textId="77777777" w:rsidR="00452679" w:rsidRDefault="00452679">
      <w:pPr>
        <w:spacing w:line="12" w:lineRule="exact"/>
        <w:rPr>
          <w:rFonts w:eastAsia="Times New Roman"/>
          <w:sz w:val="24"/>
          <w:szCs w:val="24"/>
        </w:rPr>
      </w:pPr>
    </w:p>
    <w:p w14:paraId="2A25AAFE" w14:textId="77777777" w:rsidR="00452679" w:rsidRDefault="0049724C">
      <w:pPr>
        <w:numPr>
          <w:ilvl w:val="0"/>
          <w:numId w:val="9"/>
        </w:numPr>
        <w:tabs>
          <w:tab w:val="left" w:pos="361"/>
        </w:tabs>
        <w:spacing w:line="243" w:lineRule="auto"/>
        <w:ind w:left="361" w:right="20" w:hanging="361"/>
        <w:rPr>
          <w:rFonts w:eastAsia="Times New Roman"/>
          <w:sz w:val="24"/>
          <w:szCs w:val="24"/>
        </w:rPr>
      </w:pPr>
      <w:r>
        <w:rPr>
          <w:rFonts w:eastAsia="Times New Roman"/>
          <w:sz w:val="24"/>
          <w:szCs w:val="24"/>
        </w:rPr>
        <w:t>Obec nezřizuje další místa pro hlášení požárů, která by byla trvale označena tabulkou „Zde hlaste požár“ nebo symbolem telefonního čísla „150“.</w:t>
      </w:r>
      <w:r>
        <w:rPr>
          <w:rFonts w:eastAsia="Times New Roman"/>
          <w:sz w:val="32"/>
          <w:szCs w:val="32"/>
          <w:vertAlign w:val="superscript"/>
        </w:rPr>
        <w:t>8</w:t>
      </w:r>
      <w:r>
        <w:rPr>
          <w:rFonts w:eastAsia="Times New Roman"/>
          <w:b/>
          <w:bCs/>
          <w:sz w:val="32"/>
          <w:szCs w:val="32"/>
          <w:vertAlign w:val="superscript"/>
        </w:rPr>
        <w:t>)</w:t>
      </w:r>
    </w:p>
    <w:p w14:paraId="021DA346" w14:textId="77777777" w:rsidR="00452679" w:rsidRDefault="00452679">
      <w:pPr>
        <w:spacing w:line="164" w:lineRule="exact"/>
        <w:rPr>
          <w:sz w:val="20"/>
          <w:szCs w:val="20"/>
        </w:rPr>
      </w:pPr>
    </w:p>
    <w:p w14:paraId="460D7578" w14:textId="77777777" w:rsidR="00452679" w:rsidRDefault="0049724C">
      <w:pPr>
        <w:ind w:right="19"/>
        <w:jc w:val="center"/>
        <w:rPr>
          <w:sz w:val="20"/>
          <w:szCs w:val="20"/>
        </w:rPr>
      </w:pPr>
      <w:r>
        <w:rPr>
          <w:rFonts w:eastAsia="Times New Roman"/>
          <w:b/>
          <w:bCs/>
          <w:sz w:val="24"/>
          <w:szCs w:val="24"/>
        </w:rPr>
        <w:t>Článek 8</w:t>
      </w:r>
    </w:p>
    <w:p w14:paraId="0D60498D" w14:textId="77777777" w:rsidR="00452679" w:rsidRDefault="0049724C">
      <w:pPr>
        <w:ind w:right="19"/>
        <w:jc w:val="center"/>
        <w:rPr>
          <w:sz w:val="20"/>
          <w:szCs w:val="20"/>
        </w:rPr>
      </w:pPr>
      <w:r>
        <w:rPr>
          <w:rFonts w:eastAsia="Times New Roman"/>
          <w:b/>
          <w:bCs/>
          <w:sz w:val="24"/>
          <w:szCs w:val="24"/>
        </w:rPr>
        <w:t>Způsob vyhlášení požárního poplachu</w:t>
      </w:r>
    </w:p>
    <w:p w14:paraId="41F25F3E" w14:textId="77777777" w:rsidR="00452679" w:rsidRDefault="00452679">
      <w:pPr>
        <w:spacing w:line="243" w:lineRule="exact"/>
        <w:rPr>
          <w:sz w:val="20"/>
          <w:szCs w:val="20"/>
        </w:rPr>
      </w:pPr>
    </w:p>
    <w:p w14:paraId="0A3CB022" w14:textId="77777777" w:rsidR="00452679" w:rsidRDefault="0049724C">
      <w:pPr>
        <w:spacing w:line="236" w:lineRule="auto"/>
        <w:ind w:left="1"/>
        <w:jc w:val="both"/>
        <w:rPr>
          <w:sz w:val="20"/>
          <w:szCs w:val="20"/>
        </w:rPr>
      </w:pPr>
      <w:r>
        <w:rPr>
          <w:rFonts w:eastAsia="Times New Roman"/>
          <w:sz w:val="24"/>
          <w:szCs w:val="24"/>
        </w:rPr>
        <w:t>Vyhlášení požárního poplachu v obci provádí zasláním SMS registrovaným uživatelů prostřednictvím Infokanálu obce a dále voláním „Ho-ří“ od úst k ústům (počínaje od výše uvedených registrovaných uživatelů směrem k dalším osobám).</w:t>
      </w:r>
    </w:p>
    <w:p w14:paraId="553DBD53" w14:textId="77777777" w:rsidR="00452679" w:rsidRDefault="00452679">
      <w:pPr>
        <w:spacing w:line="230" w:lineRule="exact"/>
        <w:rPr>
          <w:sz w:val="20"/>
          <w:szCs w:val="20"/>
        </w:rPr>
      </w:pPr>
    </w:p>
    <w:p w14:paraId="3C95031A" w14:textId="77777777" w:rsidR="00452679" w:rsidRDefault="0049724C">
      <w:pPr>
        <w:ind w:right="19"/>
        <w:jc w:val="center"/>
        <w:rPr>
          <w:sz w:val="20"/>
          <w:szCs w:val="20"/>
        </w:rPr>
      </w:pPr>
      <w:r>
        <w:rPr>
          <w:rFonts w:eastAsia="Times New Roman"/>
          <w:b/>
          <w:bCs/>
          <w:sz w:val="24"/>
          <w:szCs w:val="24"/>
        </w:rPr>
        <w:t>Článek 9</w:t>
      </w:r>
    </w:p>
    <w:p w14:paraId="3BA4D024" w14:textId="77777777" w:rsidR="00452679" w:rsidRDefault="0049724C">
      <w:pPr>
        <w:ind w:right="19"/>
        <w:jc w:val="center"/>
        <w:rPr>
          <w:sz w:val="20"/>
          <w:szCs w:val="20"/>
        </w:rPr>
      </w:pPr>
      <w:r>
        <w:rPr>
          <w:rFonts w:eastAsia="Times New Roman"/>
          <w:b/>
          <w:bCs/>
          <w:sz w:val="24"/>
          <w:szCs w:val="24"/>
        </w:rPr>
        <w:t>Seznam sil a jednotek požární ochrany podle výpisu</w:t>
      </w:r>
    </w:p>
    <w:p w14:paraId="3CD1CACC" w14:textId="77777777" w:rsidR="00452679" w:rsidRDefault="0049724C">
      <w:pPr>
        <w:ind w:right="19"/>
        <w:jc w:val="center"/>
        <w:rPr>
          <w:sz w:val="20"/>
          <w:szCs w:val="20"/>
        </w:rPr>
      </w:pPr>
      <w:r>
        <w:rPr>
          <w:rFonts w:eastAsia="Times New Roman"/>
          <w:b/>
          <w:bCs/>
          <w:sz w:val="24"/>
          <w:szCs w:val="24"/>
        </w:rPr>
        <w:t>z požárního poplachového plánu kraje</w:t>
      </w:r>
    </w:p>
    <w:p w14:paraId="575DC628" w14:textId="77777777" w:rsidR="00452679" w:rsidRDefault="00452679">
      <w:pPr>
        <w:spacing w:line="243" w:lineRule="exact"/>
        <w:rPr>
          <w:sz w:val="20"/>
          <w:szCs w:val="20"/>
        </w:rPr>
      </w:pPr>
    </w:p>
    <w:p w14:paraId="4387C266" w14:textId="77777777" w:rsidR="00452679" w:rsidRDefault="0049724C">
      <w:pPr>
        <w:spacing w:line="237" w:lineRule="auto"/>
        <w:ind w:left="21" w:right="20" w:hanging="13"/>
        <w:jc w:val="both"/>
        <w:rPr>
          <w:sz w:val="20"/>
          <w:szCs w:val="20"/>
        </w:rPr>
      </w:pPr>
      <w:r>
        <w:rPr>
          <w:rFonts w:eastAsia="Times New Roman"/>
          <w:sz w:val="24"/>
          <w:szCs w:val="24"/>
        </w:rPr>
        <w:t>Seznam sil a jednotek požární ochrany podle výpisu z požárního poplachového plánu Ústeckého kraje</w:t>
      </w:r>
      <w:r>
        <w:rPr>
          <w:rFonts w:eastAsia="Times New Roman"/>
          <w:sz w:val="32"/>
          <w:szCs w:val="32"/>
          <w:vertAlign w:val="superscript"/>
        </w:rPr>
        <w:t>9)</w:t>
      </w:r>
      <w:r>
        <w:rPr>
          <w:rFonts w:eastAsia="Times New Roman"/>
          <w:sz w:val="24"/>
          <w:szCs w:val="24"/>
        </w:rPr>
        <w:t xml:space="preserve"> je uveden v příloze č. 1 této vyhlášky.</w:t>
      </w:r>
    </w:p>
    <w:p w14:paraId="4A39A30A" w14:textId="77777777" w:rsidR="00452679" w:rsidRDefault="00452679">
      <w:pPr>
        <w:spacing w:line="221" w:lineRule="exact"/>
        <w:rPr>
          <w:sz w:val="20"/>
          <w:szCs w:val="20"/>
        </w:rPr>
      </w:pPr>
    </w:p>
    <w:p w14:paraId="20308443" w14:textId="77777777" w:rsidR="00452679" w:rsidRDefault="0049724C">
      <w:pPr>
        <w:ind w:right="19"/>
        <w:jc w:val="center"/>
        <w:rPr>
          <w:sz w:val="20"/>
          <w:szCs w:val="20"/>
        </w:rPr>
      </w:pPr>
      <w:r>
        <w:rPr>
          <w:rFonts w:eastAsia="Times New Roman"/>
          <w:b/>
          <w:bCs/>
          <w:sz w:val="24"/>
          <w:szCs w:val="24"/>
        </w:rPr>
        <w:t>Článek 10</w:t>
      </w:r>
    </w:p>
    <w:p w14:paraId="004EB8B7" w14:textId="77777777" w:rsidR="00452679" w:rsidRDefault="0049724C">
      <w:pPr>
        <w:ind w:right="19"/>
        <w:jc w:val="center"/>
        <w:rPr>
          <w:sz w:val="20"/>
          <w:szCs w:val="20"/>
        </w:rPr>
      </w:pPr>
      <w:r>
        <w:rPr>
          <w:rFonts w:eastAsia="Times New Roman"/>
          <w:b/>
          <w:bCs/>
          <w:sz w:val="24"/>
          <w:szCs w:val="24"/>
        </w:rPr>
        <w:t>Zrušovací ustanovení</w:t>
      </w:r>
    </w:p>
    <w:p w14:paraId="6710E4B3" w14:textId="77777777" w:rsidR="00452679" w:rsidRDefault="00452679">
      <w:pPr>
        <w:spacing w:line="276" w:lineRule="exact"/>
        <w:rPr>
          <w:sz w:val="20"/>
          <w:szCs w:val="20"/>
        </w:rPr>
      </w:pPr>
    </w:p>
    <w:p w14:paraId="0E2284EB" w14:textId="77777777" w:rsidR="00452679" w:rsidRDefault="0049724C">
      <w:pPr>
        <w:ind w:right="379"/>
        <w:jc w:val="center"/>
        <w:rPr>
          <w:sz w:val="20"/>
          <w:szCs w:val="20"/>
        </w:rPr>
      </w:pPr>
      <w:r>
        <w:rPr>
          <w:rFonts w:eastAsia="Times New Roman"/>
          <w:sz w:val="24"/>
          <w:szCs w:val="24"/>
        </w:rPr>
        <w:t>Zrušuje se obecně závazná vyhláška č. 2/2013, požární řád obce Klíny, ze dne 17. 3. 2013.</w:t>
      </w:r>
    </w:p>
    <w:p w14:paraId="5D51DDB9" w14:textId="77777777" w:rsidR="00452679" w:rsidRDefault="00452679">
      <w:pPr>
        <w:spacing w:line="276" w:lineRule="exact"/>
        <w:rPr>
          <w:sz w:val="20"/>
          <w:szCs w:val="20"/>
        </w:rPr>
      </w:pPr>
    </w:p>
    <w:p w14:paraId="28B3DE72" w14:textId="77777777" w:rsidR="00452679" w:rsidRDefault="0049724C">
      <w:pPr>
        <w:ind w:left="4021"/>
        <w:rPr>
          <w:sz w:val="20"/>
          <w:szCs w:val="20"/>
        </w:rPr>
      </w:pPr>
      <w:r>
        <w:rPr>
          <w:rFonts w:eastAsia="Times New Roman"/>
          <w:b/>
          <w:bCs/>
          <w:sz w:val="24"/>
          <w:szCs w:val="24"/>
        </w:rPr>
        <w:t>Článek 11</w:t>
      </w:r>
    </w:p>
    <w:p w14:paraId="176985E5" w14:textId="77777777" w:rsidR="00452679" w:rsidRDefault="0049724C">
      <w:pPr>
        <w:ind w:left="4081"/>
        <w:rPr>
          <w:sz w:val="20"/>
          <w:szCs w:val="20"/>
        </w:rPr>
      </w:pPr>
      <w:r>
        <w:rPr>
          <w:rFonts w:eastAsia="Times New Roman"/>
          <w:b/>
          <w:bCs/>
          <w:sz w:val="24"/>
          <w:szCs w:val="24"/>
        </w:rPr>
        <w:t>Účinnost</w:t>
      </w:r>
    </w:p>
    <w:p w14:paraId="46426ACC" w14:textId="77777777" w:rsidR="00452679" w:rsidRDefault="00452679">
      <w:pPr>
        <w:spacing w:line="276" w:lineRule="exact"/>
        <w:rPr>
          <w:sz w:val="20"/>
          <w:szCs w:val="20"/>
        </w:rPr>
      </w:pPr>
    </w:p>
    <w:p w14:paraId="7D07EE52" w14:textId="77777777" w:rsidR="00452679" w:rsidRDefault="0049724C">
      <w:pPr>
        <w:ind w:left="1"/>
        <w:rPr>
          <w:sz w:val="20"/>
          <w:szCs w:val="20"/>
        </w:rPr>
      </w:pPr>
      <w:r>
        <w:rPr>
          <w:rFonts w:eastAsia="Times New Roman"/>
          <w:sz w:val="24"/>
          <w:szCs w:val="24"/>
        </w:rPr>
        <w:t>Tato v</w:t>
      </w:r>
      <w:r>
        <w:rPr>
          <w:rFonts w:eastAsia="Times New Roman"/>
          <w:sz w:val="24"/>
          <w:szCs w:val="24"/>
        </w:rPr>
        <w:t>yhláška nabývá účinnosti patnáctým dnem po dni vyhlášení.</w:t>
      </w:r>
    </w:p>
    <w:p w14:paraId="344EB44E" w14:textId="77777777" w:rsidR="00452679" w:rsidRDefault="00452679">
      <w:pPr>
        <w:spacing w:line="200" w:lineRule="exact"/>
        <w:rPr>
          <w:sz w:val="20"/>
          <w:szCs w:val="20"/>
        </w:rPr>
      </w:pPr>
    </w:p>
    <w:p w14:paraId="4A67D932" w14:textId="77777777" w:rsidR="00452679" w:rsidRDefault="00452679">
      <w:pPr>
        <w:spacing w:line="200" w:lineRule="exact"/>
        <w:rPr>
          <w:sz w:val="20"/>
          <w:szCs w:val="20"/>
        </w:rPr>
      </w:pPr>
    </w:p>
    <w:p w14:paraId="0D042A3C" w14:textId="77777777" w:rsidR="00452679" w:rsidRDefault="00452679">
      <w:pPr>
        <w:spacing w:line="200" w:lineRule="exact"/>
        <w:rPr>
          <w:sz w:val="20"/>
          <w:szCs w:val="20"/>
        </w:rPr>
      </w:pPr>
    </w:p>
    <w:p w14:paraId="73D4F5D1" w14:textId="77777777" w:rsidR="00452679" w:rsidRDefault="00452679">
      <w:pPr>
        <w:spacing w:line="200" w:lineRule="exact"/>
        <w:rPr>
          <w:sz w:val="20"/>
          <w:szCs w:val="20"/>
        </w:rPr>
      </w:pPr>
    </w:p>
    <w:p w14:paraId="4BE751B4" w14:textId="77777777" w:rsidR="00452679" w:rsidRDefault="00452679">
      <w:pPr>
        <w:spacing w:line="304" w:lineRule="exact"/>
        <w:rPr>
          <w:sz w:val="20"/>
          <w:szCs w:val="20"/>
        </w:rPr>
      </w:pPr>
    </w:p>
    <w:p w14:paraId="04364D1F" w14:textId="77777777" w:rsidR="00452679" w:rsidRDefault="0049724C">
      <w:pPr>
        <w:ind w:left="941"/>
        <w:rPr>
          <w:sz w:val="20"/>
          <w:szCs w:val="20"/>
        </w:rPr>
      </w:pPr>
      <w:r>
        <w:rPr>
          <w:rFonts w:eastAsia="Times New Roman"/>
          <w:sz w:val="24"/>
          <w:szCs w:val="24"/>
        </w:rPr>
        <w:t>...............................................</w:t>
      </w:r>
    </w:p>
    <w:p w14:paraId="323952DD" w14:textId="77777777" w:rsidR="00452679" w:rsidRDefault="0049724C">
      <w:pPr>
        <w:tabs>
          <w:tab w:val="left" w:pos="5901"/>
        </w:tabs>
        <w:ind w:left="961"/>
        <w:rPr>
          <w:sz w:val="20"/>
          <w:szCs w:val="20"/>
        </w:rPr>
      </w:pPr>
      <w:r>
        <w:rPr>
          <w:rFonts w:eastAsia="Times New Roman"/>
          <w:sz w:val="24"/>
          <w:szCs w:val="24"/>
        </w:rPr>
        <w:t>Mgr. Zděnka Němečková</w:t>
      </w:r>
      <w:r>
        <w:rPr>
          <w:sz w:val="20"/>
          <w:szCs w:val="20"/>
        </w:rPr>
        <w:tab/>
      </w:r>
      <w:r>
        <w:rPr>
          <w:rFonts w:eastAsia="Times New Roman"/>
          <w:sz w:val="24"/>
          <w:szCs w:val="24"/>
        </w:rPr>
        <w:t>Ing. Jiří Matoušek</w:t>
      </w:r>
    </w:p>
    <w:p w14:paraId="5C2CAF64" w14:textId="77777777" w:rsidR="00452679" w:rsidRDefault="00452679">
      <w:pPr>
        <w:spacing w:line="1" w:lineRule="exact"/>
        <w:rPr>
          <w:sz w:val="20"/>
          <w:szCs w:val="20"/>
        </w:rPr>
      </w:pPr>
    </w:p>
    <w:p w14:paraId="395177A1" w14:textId="77777777" w:rsidR="00452679" w:rsidRDefault="0049724C">
      <w:pPr>
        <w:tabs>
          <w:tab w:val="left" w:pos="6421"/>
        </w:tabs>
        <w:ind w:left="1501"/>
        <w:rPr>
          <w:sz w:val="20"/>
          <w:szCs w:val="20"/>
        </w:rPr>
      </w:pPr>
      <w:r>
        <w:rPr>
          <w:rFonts w:eastAsia="Times New Roman"/>
          <w:sz w:val="24"/>
          <w:szCs w:val="24"/>
        </w:rPr>
        <w:t>místostarostka</w:t>
      </w:r>
      <w:r>
        <w:rPr>
          <w:sz w:val="20"/>
          <w:szCs w:val="20"/>
        </w:rPr>
        <w:tab/>
      </w:r>
      <w:r>
        <w:rPr>
          <w:rFonts w:eastAsia="Times New Roman"/>
          <w:sz w:val="23"/>
          <w:szCs w:val="23"/>
        </w:rPr>
        <w:t>starosta</w:t>
      </w:r>
    </w:p>
    <w:p w14:paraId="05672F56" w14:textId="77777777" w:rsidR="00452679" w:rsidRDefault="00452679">
      <w:pPr>
        <w:spacing w:line="276" w:lineRule="exact"/>
        <w:rPr>
          <w:sz w:val="20"/>
          <w:szCs w:val="20"/>
        </w:rPr>
      </w:pPr>
    </w:p>
    <w:p w14:paraId="628FB388" w14:textId="77777777" w:rsidR="00452679" w:rsidRDefault="0049724C">
      <w:pPr>
        <w:tabs>
          <w:tab w:val="left" w:pos="3521"/>
        </w:tabs>
        <w:ind w:left="1"/>
        <w:rPr>
          <w:sz w:val="20"/>
          <w:szCs w:val="20"/>
        </w:rPr>
      </w:pPr>
      <w:r>
        <w:rPr>
          <w:rFonts w:eastAsia="Times New Roman"/>
          <w:sz w:val="24"/>
          <w:szCs w:val="24"/>
        </w:rPr>
        <w:t>Vyvěšeno na úřední desce dne:</w:t>
      </w:r>
      <w:r>
        <w:rPr>
          <w:sz w:val="20"/>
          <w:szCs w:val="20"/>
        </w:rPr>
        <w:tab/>
      </w:r>
      <w:r>
        <w:rPr>
          <w:rFonts w:eastAsia="Times New Roman"/>
          <w:sz w:val="24"/>
          <w:szCs w:val="24"/>
        </w:rPr>
        <w:t>27.10.2017</w:t>
      </w:r>
    </w:p>
    <w:p w14:paraId="3DE75893" w14:textId="77777777" w:rsidR="00452679" w:rsidRDefault="00452679">
      <w:pPr>
        <w:spacing w:line="276" w:lineRule="exact"/>
        <w:rPr>
          <w:sz w:val="20"/>
          <w:szCs w:val="20"/>
        </w:rPr>
      </w:pPr>
    </w:p>
    <w:p w14:paraId="6F3DD604" w14:textId="77777777" w:rsidR="00452679" w:rsidRDefault="0049724C">
      <w:pPr>
        <w:tabs>
          <w:tab w:val="left" w:pos="4121"/>
        </w:tabs>
        <w:ind w:left="1"/>
        <w:rPr>
          <w:sz w:val="20"/>
          <w:szCs w:val="20"/>
        </w:rPr>
      </w:pPr>
      <w:r>
        <w:rPr>
          <w:rFonts w:eastAsia="Times New Roman"/>
          <w:sz w:val="24"/>
          <w:szCs w:val="24"/>
        </w:rPr>
        <w:t>Sejmuto z úřední desky dne:</w:t>
      </w:r>
      <w:r>
        <w:rPr>
          <w:sz w:val="20"/>
          <w:szCs w:val="20"/>
        </w:rPr>
        <w:tab/>
      </w:r>
      <w:r>
        <w:rPr>
          <w:rFonts w:eastAsia="Times New Roman"/>
          <w:sz w:val="24"/>
          <w:szCs w:val="24"/>
        </w:rPr>
        <w:t>2017</w:t>
      </w:r>
    </w:p>
    <w:p w14:paraId="324856C2" w14:textId="77777777" w:rsidR="00452679" w:rsidRDefault="0049724C">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14:anchorId="20D6A4CB" wp14:editId="657CC7D3">
                <wp:simplePos x="0" y="0"/>
                <wp:positionH relativeFrom="column">
                  <wp:posOffset>0</wp:posOffset>
                </wp:positionH>
                <wp:positionV relativeFrom="paragraph">
                  <wp:posOffset>198120</wp:posOffset>
                </wp:positionV>
                <wp:extent cx="18288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FE68621" id="Shape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15.6pt" to="2in,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" o:allowincell="f" filled="t" strokeweight=".16931mm">
                <v:stroke joinstyle="miter"/>
                <o:lock v:ext="edit" shapetype="f"/>
              </v:line>
            </w:pict>
          </mc:Fallback>
        </mc:AlternateContent>
      </w:r>
    </w:p>
    <w:p w14:paraId="1C351B55" w14:textId="77777777" w:rsidR="00452679" w:rsidRDefault="00452679">
      <w:pPr>
        <w:spacing w:line="391" w:lineRule="exact"/>
        <w:rPr>
          <w:sz w:val="20"/>
          <w:szCs w:val="20"/>
        </w:rPr>
      </w:pPr>
    </w:p>
    <w:p w14:paraId="3C6650F7" w14:textId="77777777" w:rsidR="00452679" w:rsidRDefault="0049724C">
      <w:pPr>
        <w:numPr>
          <w:ilvl w:val="0"/>
          <w:numId w:val="10"/>
        </w:numPr>
        <w:tabs>
          <w:tab w:val="left" w:pos="165"/>
        </w:tabs>
        <w:spacing w:line="220" w:lineRule="auto"/>
        <w:ind w:left="141" w:right="20" w:hanging="141"/>
        <w:jc w:val="both"/>
        <w:rPr>
          <w:rFonts w:eastAsia="Times New Roman"/>
          <w:sz w:val="26"/>
          <w:szCs w:val="26"/>
          <w:vertAlign w:val="superscript"/>
        </w:rPr>
      </w:pPr>
      <w:r>
        <w:rPr>
          <w:rFonts w:eastAsia="Times New Roman"/>
          <w:sz w:val="20"/>
          <w:szCs w:val="20"/>
        </w:rPr>
        <w:t>každá ohlašovna požárů má svůj řád ohlašovny požárů, který je dostupný v ohlašovně požárů; podle takového řádu zejména přijímá hlášení o vzniku požárů nebo jiné mimořádné události, vyhlašuje požární poplach, povolává jednotku požární ochrany na místo požáru, oznamuje požár nebo jinou mimořádnou událost na operační středisko HZS</w:t>
      </w:r>
    </w:p>
    <w:p w14:paraId="3C3CD957" w14:textId="77777777" w:rsidR="00452679" w:rsidRDefault="00452679">
      <w:pPr>
        <w:spacing w:line="12" w:lineRule="exact"/>
        <w:rPr>
          <w:rFonts w:eastAsia="Times New Roman"/>
          <w:sz w:val="26"/>
          <w:szCs w:val="26"/>
          <w:vertAlign w:val="superscript"/>
        </w:rPr>
      </w:pPr>
    </w:p>
    <w:p w14:paraId="056AAEA2" w14:textId="77777777" w:rsidR="00452679" w:rsidRDefault="0049724C">
      <w:pPr>
        <w:numPr>
          <w:ilvl w:val="0"/>
          <w:numId w:val="10"/>
        </w:numPr>
        <w:tabs>
          <w:tab w:val="left" w:pos="189"/>
        </w:tabs>
        <w:spacing w:line="203" w:lineRule="auto"/>
        <w:ind w:left="141" w:hanging="141"/>
        <w:rPr>
          <w:rFonts w:eastAsia="Times New Roman"/>
          <w:sz w:val="26"/>
          <w:szCs w:val="26"/>
          <w:vertAlign w:val="superscript"/>
        </w:rPr>
      </w:pPr>
      <w:r>
        <w:rPr>
          <w:rFonts w:eastAsia="Times New Roman"/>
          <w:sz w:val="20"/>
          <w:szCs w:val="20"/>
        </w:rPr>
        <w:t>k hlášení požárů lze využít rovněž např. síť veřejných telefonních stanic (budek) označených symbolem telefonního čísla 112 nebo 150</w:t>
      </w:r>
    </w:p>
    <w:p w14:paraId="68BA3007" w14:textId="77777777" w:rsidR="00452679" w:rsidRDefault="00452679">
      <w:pPr>
        <w:spacing w:line="2" w:lineRule="exact"/>
        <w:rPr>
          <w:rFonts w:eastAsia="Times New Roman"/>
          <w:sz w:val="26"/>
          <w:szCs w:val="26"/>
          <w:vertAlign w:val="superscript"/>
        </w:rPr>
      </w:pPr>
    </w:p>
    <w:p w14:paraId="49D158B4" w14:textId="77777777" w:rsidR="00452679" w:rsidRDefault="0049724C">
      <w:pPr>
        <w:numPr>
          <w:ilvl w:val="0"/>
          <w:numId w:val="10"/>
        </w:numPr>
        <w:tabs>
          <w:tab w:val="left" w:pos="201"/>
        </w:tabs>
        <w:spacing w:line="184" w:lineRule="auto"/>
        <w:ind w:left="201" w:hanging="201"/>
        <w:rPr>
          <w:rFonts w:eastAsia="Times New Roman"/>
          <w:sz w:val="26"/>
          <w:szCs w:val="26"/>
          <w:vertAlign w:val="superscript"/>
        </w:rPr>
      </w:pPr>
      <w:r>
        <w:rPr>
          <w:rFonts w:eastAsia="Times New Roman"/>
          <w:sz w:val="20"/>
          <w:szCs w:val="20"/>
        </w:rPr>
        <w:t>nařízení Ústeckého kraje č. 8/2011, kterým se vydává Požární poplachový plán Ústeckého kraje, ze dne</w:t>
      </w:r>
    </w:p>
    <w:p w14:paraId="7F44DB43" w14:textId="77777777" w:rsidR="00452679" w:rsidRDefault="00452679">
      <w:pPr>
        <w:spacing w:line="20" w:lineRule="exact"/>
        <w:rPr>
          <w:rFonts w:eastAsia="Times New Roman"/>
          <w:sz w:val="26"/>
          <w:szCs w:val="26"/>
          <w:vertAlign w:val="superscript"/>
        </w:rPr>
      </w:pPr>
    </w:p>
    <w:p w14:paraId="0F9C8C6F" w14:textId="77777777" w:rsidR="00452679" w:rsidRDefault="0049724C">
      <w:pPr>
        <w:numPr>
          <w:ilvl w:val="1"/>
          <w:numId w:val="10"/>
        </w:numPr>
        <w:tabs>
          <w:tab w:val="left" w:pos="481"/>
        </w:tabs>
        <w:spacing w:line="220" w:lineRule="auto"/>
        <w:ind w:left="481" w:hanging="311"/>
        <w:rPr>
          <w:rFonts w:eastAsia="Times New Roman"/>
          <w:sz w:val="20"/>
          <w:szCs w:val="20"/>
        </w:rPr>
      </w:pPr>
      <w:r>
        <w:rPr>
          <w:rFonts w:eastAsia="Times New Roman"/>
          <w:sz w:val="20"/>
          <w:szCs w:val="20"/>
        </w:rPr>
        <w:t>7. 2011</w:t>
      </w:r>
    </w:p>
    <w:p w14:paraId="03C431CE" w14:textId="77777777" w:rsidR="00452679" w:rsidRDefault="00452679">
      <w:pPr>
        <w:sectPr w:rsidR="00452679">
          <w:pgSz w:w="11900" w:h="16838"/>
          <w:pgMar w:top="1440" w:right="1406" w:bottom="570" w:left="1419" w:header="0" w:footer="0" w:gutter="0"/>
          <w:cols w:space="708" w:equalWidth="0">
            <w:col w:w="9081"/>
          </w:cols>
        </w:sectPr>
      </w:pPr>
    </w:p>
    <w:p w14:paraId="18B75726" w14:textId="77777777" w:rsidR="00452679" w:rsidRDefault="0049724C">
      <w:pPr>
        <w:rPr>
          <w:sz w:val="20"/>
          <w:szCs w:val="20"/>
        </w:rPr>
      </w:pPr>
      <w:bookmarkStart w:id="3" w:name="page4"/>
      <w:bookmarkEnd w:id="3"/>
      <w:r>
        <w:rPr>
          <w:rFonts w:eastAsia="Times New Roman"/>
          <w:b/>
          <w:bCs/>
          <w:sz w:val="24"/>
          <w:szCs w:val="24"/>
        </w:rPr>
        <w:t>Příloha č. 1 obecně závazné vyhlášky č. 1/2017, požární řád</w:t>
      </w:r>
    </w:p>
    <w:p w14:paraId="4C96FFD5" w14:textId="77777777" w:rsidR="00452679" w:rsidRDefault="00452679">
      <w:pPr>
        <w:spacing w:line="276" w:lineRule="exact"/>
        <w:rPr>
          <w:sz w:val="20"/>
          <w:szCs w:val="20"/>
        </w:rPr>
      </w:pPr>
    </w:p>
    <w:p w14:paraId="57E15C9A" w14:textId="77777777" w:rsidR="00452679" w:rsidRDefault="0049724C">
      <w:pPr>
        <w:ind w:right="-13"/>
        <w:jc w:val="center"/>
        <w:rPr>
          <w:sz w:val="20"/>
          <w:szCs w:val="20"/>
        </w:rPr>
      </w:pPr>
      <w:r>
        <w:rPr>
          <w:rFonts w:eastAsia="Times New Roman"/>
          <w:b/>
          <w:bCs/>
          <w:sz w:val="24"/>
          <w:szCs w:val="24"/>
          <w:u w:val="single"/>
        </w:rPr>
        <w:t>Seznam sil a prostředků jednotek požární ochrany</w:t>
      </w:r>
    </w:p>
    <w:p w14:paraId="7BAA720F" w14:textId="77777777" w:rsidR="00452679" w:rsidRDefault="0049724C">
      <w:pPr>
        <w:ind w:right="-13"/>
        <w:jc w:val="center"/>
        <w:rPr>
          <w:sz w:val="20"/>
          <w:szCs w:val="20"/>
        </w:rPr>
      </w:pPr>
      <w:r>
        <w:rPr>
          <w:rFonts w:eastAsia="Times New Roman"/>
          <w:b/>
          <w:bCs/>
          <w:sz w:val="24"/>
          <w:szCs w:val="24"/>
          <w:u w:val="single"/>
        </w:rPr>
        <w:t>podle požárního poplachového plánu Ústeckého kraje</w:t>
      </w:r>
    </w:p>
    <w:p w14:paraId="54E69BCA" w14:textId="77777777" w:rsidR="00452679" w:rsidRDefault="00452679">
      <w:pPr>
        <w:spacing w:line="276" w:lineRule="exact"/>
        <w:rPr>
          <w:sz w:val="20"/>
          <w:szCs w:val="20"/>
        </w:rPr>
      </w:pPr>
    </w:p>
    <w:p w14:paraId="2DF3756B" w14:textId="77777777" w:rsidR="00452679" w:rsidRDefault="0049724C">
      <w:pPr>
        <w:ind w:right="1586"/>
        <w:jc w:val="right"/>
        <w:rPr>
          <w:sz w:val="20"/>
          <w:szCs w:val="20"/>
        </w:rPr>
      </w:pPr>
      <w:r>
        <w:rPr>
          <w:rFonts w:eastAsia="Times New Roman"/>
          <w:sz w:val="24"/>
          <w:szCs w:val="24"/>
        </w:rPr>
        <w:t>Územní odbor Most HZS Ústeckého kraje – okres Most</w:t>
      </w:r>
    </w:p>
    <w:p w14:paraId="6FEC45F6" w14:textId="77777777" w:rsidR="00452679" w:rsidRDefault="00452679">
      <w:pPr>
        <w:spacing w:line="317" w:lineRule="exact"/>
        <w:rPr>
          <w:sz w:val="20"/>
          <w:szCs w:val="20"/>
        </w:rPr>
      </w:pPr>
    </w:p>
    <w:p w14:paraId="5644E221" w14:textId="77777777" w:rsidR="00452679" w:rsidRDefault="0049724C">
      <w:pPr>
        <w:ind w:right="46"/>
        <w:jc w:val="center"/>
        <w:rPr>
          <w:sz w:val="20"/>
          <w:szCs w:val="20"/>
        </w:rPr>
      </w:pPr>
      <w:r>
        <w:rPr>
          <w:rFonts w:eastAsia="Times New Roman"/>
          <w:b/>
          <w:bCs/>
          <w:sz w:val="24"/>
          <w:szCs w:val="24"/>
        </w:rPr>
        <w:t>POŽÁRNÍ</w:t>
      </w:r>
    </w:p>
    <w:p w14:paraId="2BA3FE41" w14:textId="77777777" w:rsidR="00452679" w:rsidRDefault="0049724C">
      <w:pPr>
        <w:ind w:right="46"/>
        <w:jc w:val="center"/>
        <w:rPr>
          <w:sz w:val="20"/>
          <w:szCs w:val="20"/>
        </w:rPr>
      </w:pPr>
      <w:r>
        <w:rPr>
          <w:rFonts w:eastAsia="Times New Roman"/>
          <w:b/>
          <w:bCs/>
          <w:sz w:val="24"/>
          <w:szCs w:val="24"/>
        </w:rPr>
        <w:t>POPLACHOVÝ PLÁN</w:t>
      </w:r>
    </w:p>
    <w:p w14:paraId="4D5DDD87" w14:textId="77777777" w:rsidR="00452679" w:rsidRDefault="00452679">
      <w:pPr>
        <w:spacing w:line="276" w:lineRule="exact"/>
        <w:rPr>
          <w:sz w:val="20"/>
          <w:szCs w:val="20"/>
        </w:rPr>
      </w:pPr>
    </w:p>
    <w:p w14:paraId="25085CAF" w14:textId="77777777" w:rsidR="00452679" w:rsidRDefault="0049724C">
      <w:pPr>
        <w:tabs>
          <w:tab w:val="left" w:pos="2100"/>
        </w:tabs>
        <w:rPr>
          <w:sz w:val="20"/>
          <w:szCs w:val="20"/>
        </w:rPr>
      </w:pPr>
      <w:r>
        <w:rPr>
          <w:rFonts w:eastAsia="Times New Roman"/>
          <w:sz w:val="24"/>
          <w:szCs w:val="24"/>
        </w:rPr>
        <w:t>Pro město - obec:</w:t>
      </w:r>
      <w:r>
        <w:rPr>
          <w:sz w:val="20"/>
          <w:szCs w:val="20"/>
        </w:rPr>
        <w:tab/>
      </w:r>
      <w:r>
        <w:rPr>
          <w:rFonts w:eastAsia="Times New Roman"/>
          <w:b/>
          <w:bCs/>
          <w:sz w:val="24"/>
          <w:szCs w:val="24"/>
          <w:u w:val="single"/>
        </w:rPr>
        <w:t>Klíny</w:t>
      </w:r>
    </w:p>
    <w:p w14:paraId="4CD87AD8" w14:textId="77777777" w:rsidR="00452679" w:rsidRDefault="00452679">
      <w:pPr>
        <w:spacing w:line="185" w:lineRule="exact"/>
        <w:rPr>
          <w:sz w:val="20"/>
          <w:szCs w:val="20"/>
        </w:rPr>
      </w:pPr>
    </w:p>
    <w:p w14:paraId="27ED7F12" w14:textId="77777777" w:rsidR="00452679" w:rsidRDefault="0049724C">
      <w:pPr>
        <w:ind w:left="2120"/>
        <w:rPr>
          <w:sz w:val="20"/>
          <w:szCs w:val="20"/>
        </w:rPr>
      </w:pPr>
      <w:r>
        <w:rPr>
          <w:rFonts w:eastAsia="Times New Roman"/>
          <w:sz w:val="24"/>
          <w:szCs w:val="24"/>
        </w:rPr>
        <w:t>Rašov, Sedlo</w:t>
      </w:r>
    </w:p>
    <w:p w14:paraId="5D309DC5" w14:textId="77777777" w:rsidR="00452679" w:rsidRDefault="00452679">
      <w:pPr>
        <w:spacing w:line="259" w:lineRule="exact"/>
        <w:rPr>
          <w:sz w:val="20"/>
          <w:szCs w:val="20"/>
        </w:rPr>
      </w:pPr>
    </w:p>
    <w:tbl>
      <w:tblPr>
        <w:tblW w:w="0" w:type="auto"/>
        <w:tblInd w:w="2030" w:type="dxa"/>
        <w:tblLayout w:type="fixed"/>
        <w:tblCellMar>
          <w:left w:w="0" w:type="dxa"/>
          <w:right w:w="0" w:type="dxa"/>
        </w:tblCellMar>
        <w:tblLook w:val="04A0" w:firstRow="1" w:lastRow="0" w:firstColumn="1" w:lastColumn="0" w:noHBand="0" w:noVBand="1"/>
      </w:tblPr>
      <w:tblGrid>
        <w:gridCol w:w="1280"/>
        <w:gridCol w:w="3780"/>
      </w:tblGrid>
      <w:tr w:rsidR="00452679" w14:paraId="4309D0D8" w14:textId="77777777">
        <w:trPr>
          <w:trHeight w:val="284"/>
        </w:trPr>
        <w:tc>
          <w:tcPr>
            <w:tcW w:w="1280" w:type="dxa"/>
            <w:tcBorders>
              <w:top w:val="single" w:sz="8" w:space="0" w:color="auto"/>
              <w:left w:val="single" w:sz="8" w:space="0" w:color="auto"/>
              <w:bottom w:val="single" w:sz="8" w:space="0" w:color="auto"/>
              <w:right w:val="single" w:sz="8" w:space="0" w:color="auto"/>
            </w:tcBorders>
            <w:vAlign w:val="bottom"/>
          </w:tcPr>
          <w:p w14:paraId="2D216C4E" w14:textId="77777777" w:rsidR="00452679" w:rsidRDefault="0049724C">
            <w:pPr>
              <w:ind w:left="280"/>
              <w:rPr>
                <w:sz w:val="20"/>
                <w:szCs w:val="20"/>
              </w:rPr>
            </w:pPr>
            <w:r>
              <w:rPr>
                <w:rFonts w:eastAsia="Times New Roman"/>
                <w:b/>
                <w:bCs/>
                <w:sz w:val="24"/>
                <w:szCs w:val="24"/>
              </w:rPr>
              <w:t>Stupeň</w:t>
            </w:r>
          </w:p>
        </w:tc>
        <w:tc>
          <w:tcPr>
            <w:tcW w:w="3780" w:type="dxa"/>
            <w:tcBorders>
              <w:top w:val="single" w:sz="8" w:space="0" w:color="auto"/>
              <w:bottom w:val="single" w:sz="8" w:space="0" w:color="auto"/>
              <w:right w:val="single" w:sz="8" w:space="0" w:color="auto"/>
            </w:tcBorders>
            <w:vAlign w:val="bottom"/>
          </w:tcPr>
          <w:p w14:paraId="7644A8BA" w14:textId="77777777" w:rsidR="00452679" w:rsidRDefault="0049724C">
            <w:pPr>
              <w:ind w:left="1400"/>
              <w:rPr>
                <w:sz w:val="20"/>
                <w:szCs w:val="20"/>
              </w:rPr>
            </w:pPr>
            <w:r>
              <w:rPr>
                <w:rFonts w:eastAsia="Times New Roman"/>
                <w:b/>
                <w:bCs/>
                <w:sz w:val="24"/>
                <w:szCs w:val="24"/>
              </w:rPr>
              <w:t>Jednotka</w:t>
            </w:r>
          </w:p>
        </w:tc>
      </w:tr>
      <w:tr w:rsidR="00452679" w14:paraId="2FB1FE50" w14:textId="77777777">
        <w:trPr>
          <w:trHeight w:val="264"/>
        </w:trPr>
        <w:tc>
          <w:tcPr>
            <w:tcW w:w="1280" w:type="dxa"/>
            <w:tcBorders>
              <w:left w:val="single" w:sz="8" w:space="0" w:color="auto"/>
              <w:right w:val="single" w:sz="8" w:space="0" w:color="auto"/>
            </w:tcBorders>
            <w:vAlign w:val="bottom"/>
          </w:tcPr>
          <w:p w14:paraId="6A9DD03F" w14:textId="77777777" w:rsidR="00452679" w:rsidRDefault="0049724C">
            <w:pPr>
              <w:spacing w:line="264" w:lineRule="exact"/>
              <w:ind w:left="100"/>
              <w:rPr>
                <w:sz w:val="20"/>
                <w:szCs w:val="20"/>
              </w:rPr>
            </w:pPr>
            <w:r>
              <w:rPr>
                <w:rFonts w:eastAsia="Times New Roman"/>
                <w:b/>
                <w:bCs/>
                <w:sz w:val="24"/>
                <w:szCs w:val="24"/>
              </w:rPr>
              <w:t>I.</w:t>
            </w:r>
          </w:p>
        </w:tc>
        <w:tc>
          <w:tcPr>
            <w:tcW w:w="3780" w:type="dxa"/>
            <w:tcBorders>
              <w:right w:val="single" w:sz="8" w:space="0" w:color="auto"/>
            </w:tcBorders>
            <w:vAlign w:val="bottom"/>
          </w:tcPr>
          <w:p w14:paraId="434B02AA" w14:textId="77777777" w:rsidR="00452679" w:rsidRDefault="00452679"/>
        </w:tc>
      </w:tr>
      <w:tr w:rsidR="00452679" w14:paraId="1F921E3A" w14:textId="77777777">
        <w:trPr>
          <w:trHeight w:val="276"/>
        </w:trPr>
        <w:tc>
          <w:tcPr>
            <w:tcW w:w="1280" w:type="dxa"/>
            <w:tcBorders>
              <w:left w:val="single" w:sz="8" w:space="0" w:color="auto"/>
              <w:right w:val="single" w:sz="8" w:space="0" w:color="auto"/>
            </w:tcBorders>
            <w:vAlign w:val="bottom"/>
          </w:tcPr>
          <w:p w14:paraId="5A7612A3" w14:textId="77777777" w:rsidR="00452679" w:rsidRDefault="00452679">
            <w:pPr>
              <w:rPr>
                <w:sz w:val="24"/>
                <w:szCs w:val="24"/>
              </w:rPr>
            </w:pPr>
          </w:p>
        </w:tc>
        <w:tc>
          <w:tcPr>
            <w:tcW w:w="3780" w:type="dxa"/>
            <w:tcBorders>
              <w:right w:val="single" w:sz="8" w:space="0" w:color="auto"/>
            </w:tcBorders>
            <w:vAlign w:val="bottom"/>
          </w:tcPr>
          <w:p w14:paraId="7EB5CD4E" w14:textId="77777777" w:rsidR="00452679" w:rsidRDefault="0049724C">
            <w:pPr>
              <w:ind w:left="100"/>
              <w:rPr>
                <w:sz w:val="20"/>
                <w:szCs w:val="20"/>
              </w:rPr>
            </w:pPr>
            <w:r>
              <w:rPr>
                <w:rFonts w:eastAsia="Times New Roman"/>
                <w:sz w:val="24"/>
                <w:szCs w:val="24"/>
              </w:rPr>
              <w:t>HZS Litvínov</w:t>
            </w:r>
          </w:p>
        </w:tc>
      </w:tr>
      <w:tr w:rsidR="00452679" w14:paraId="67368CAD" w14:textId="77777777">
        <w:trPr>
          <w:trHeight w:val="276"/>
        </w:trPr>
        <w:tc>
          <w:tcPr>
            <w:tcW w:w="1280" w:type="dxa"/>
            <w:tcBorders>
              <w:left w:val="single" w:sz="8" w:space="0" w:color="auto"/>
              <w:right w:val="single" w:sz="8" w:space="0" w:color="auto"/>
            </w:tcBorders>
            <w:vAlign w:val="bottom"/>
          </w:tcPr>
          <w:p w14:paraId="439E5855" w14:textId="77777777" w:rsidR="00452679" w:rsidRDefault="00452679">
            <w:pPr>
              <w:rPr>
                <w:sz w:val="24"/>
                <w:szCs w:val="24"/>
              </w:rPr>
            </w:pPr>
          </w:p>
        </w:tc>
        <w:tc>
          <w:tcPr>
            <w:tcW w:w="3780" w:type="dxa"/>
            <w:tcBorders>
              <w:right w:val="single" w:sz="8" w:space="0" w:color="auto"/>
            </w:tcBorders>
            <w:vAlign w:val="bottom"/>
          </w:tcPr>
          <w:p w14:paraId="2CAF96BD" w14:textId="77777777" w:rsidR="00452679" w:rsidRDefault="0049724C">
            <w:pPr>
              <w:ind w:left="100"/>
              <w:rPr>
                <w:sz w:val="20"/>
                <w:szCs w:val="20"/>
              </w:rPr>
            </w:pPr>
            <w:r>
              <w:rPr>
                <w:rFonts w:eastAsia="Times New Roman"/>
                <w:sz w:val="24"/>
                <w:szCs w:val="24"/>
              </w:rPr>
              <w:t>SDH Litvínov</w:t>
            </w:r>
          </w:p>
        </w:tc>
      </w:tr>
      <w:tr w:rsidR="00452679" w14:paraId="764DDF65" w14:textId="77777777">
        <w:trPr>
          <w:trHeight w:val="279"/>
        </w:trPr>
        <w:tc>
          <w:tcPr>
            <w:tcW w:w="1280" w:type="dxa"/>
            <w:tcBorders>
              <w:left w:val="single" w:sz="8" w:space="0" w:color="auto"/>
              <w:bottom w:val="single" w:sz="8" w:space="0" w:color="auto"/>
              <w:right w:val="single" w:sz="8" w:space="0" w:color="auto"/>
            </w:tcBorders>
            <w:vAlign w:val="bottom"/>
          </w:tcPr>
          <w:p w14:paraId="32BFB5A5" w14:textId="77777777" w:rsidR="00452679" w:rsidRDefault="00452679">
            <w:pPr>
              <w:rPr>
                <w:sz w:val="24"/>
                <w:szCs w:val="24"/>
              </w:rPr>
            </w:pPr>
          </w:p>
        </w:tc>
        <w:tc>
          <w:tcPr>
            <w:tcW w:w="3780" w:type="dxa"/>
            <w:tcBorders>
              <w:bottom w:val="single" w:sz="8" w:space="0" w:color="auto"/>
              <w:right w:val="single" w:sz="8" w:space="0" w:color="auto"/>
            </w:tcBorders>
            <w:vAlign w:val="bottom"/>
          </w:tcPr>
          <w:p w14:paraId="7FA84AE3" w14:textId="77777777" w:rsidR="00452679" w:rsidRDefault="00452679">
            <w:pPr>
              <w:rPr>
                <w:sz w:val="24"/>
                <w:szCs w:val="24"/>
              </w:rPr>
            </w:pPr>
          </w:p>
        </w:tc>
      </w:tr>
      <w:tr w:rsidR="00452679" w14:paraId="417EA4ED" w14:textId="77777777">
        <w:trPr>
          <w:trHeight w:val="263"/>
        </w:trPr>
        <w:tc>
          <w:tcPr>
            <w:tcW w:w="1280" w:type="dxa"/>
            <w:tcBorders>
              <w:left w:val="single" w:sz="8" w:space="0" w:color="auto"/>
              <w:right w:val="single" w:sz="8" w:space="0" w:color="auto"/>
            </w:tcBorders>
            <w:vAlign w:val="bottom"/>
          </w:tcPr>
          <w:p w14:paraId="24802C7D" w14:textId="77777777" w:rsidR="00452679" w:rsidRDefault="0049724C">
            <w:pPr>
              <w:spacing w:line="263" w:lineRule="exact"/>
              <w:ind w:left="100"/>
              <w:rPr>
                <w:sz w:val="20"/>
                <w:szCs w:val="20"/>
              </w:rPr>
            </w:pPr>
            <w:r>
              <w:rPr>
                <w:rFonts w:eastAsia="Times New Roman"/>
                <w:b/>
                <w:bCs/>
                <w:sz w:val="24"/>
                <w:szCs w:val="24"/>
              </w:rPr>
              <w:t>II.</w:t>
            </w:r>
          </w:p>
        </w:tc>
        <w:tc>
          <w:tcPr>
            <w:tcW w:w="3780" w:type="dxa"/>
            <w:tcBorders>
              <w:right w:val="single" w:sz="8" w:space="0" w:color="auto"/>
            </w:tcBorders>
            <w:vAlign w:val="bottom"/>
          </w:tcPr>
          <w:p w14:paraId="6437888E" w14:textId="77777777" w:rsidR="00452679" w:rsidRDefault="00452679"/>
        </w:tc>
      </w:tr>
      <w:tr w:rsidR="00452679" w14:paraId="14410D26" w14:textId="77777777">
        <w:trPr>
          <w:trHeight w:val="276"/>
        </w:trPr>
        <w:tc>
          <w:tcPr>
            <w:tcW w:w="1280" w:type="dxa"/>
            <w:tcBorders>
              <w:left w:val="single" w:sz="8" w:space="0" w:color="auto"/>
              <w:right w:val="single" w:sz="8" w:space="0" w:color="auto"/>
            </w:tcBorders>
            <w:vAlign w:val="bottom"/>
          </w:tcPr>
          <w:p w14:paraId="3289DCCF" w14:textId="77777777" w:rsidR="00452679" w:rsidRDefault="00452679">
            <w:pPr>
              <w:rPr>
                <w:sz w:val="24"/>
                <w:szCs w:val="24"/>
              </w:rPr>
            </w:pPr>
          </w:p>
        </w:tc>
        <w:tc>
          <w:tcPr>
            <w:tcW w:w="3780" w:type="dxa"/>
            <w:tcBorders>
              <w:right w:val="single" w:sz="8" w:space="0" w:color="auto"/>
            </w:tcBorders>
            <w:vAlign w:val="bottom"/>
          </w:tcPr>
          <w:p w14:paraId="6DE8BA54" w14:textId="77777777" w:rsidR="00452679" w:rsidRDefault="0049724C">
            <w:pPr>
              <w:ind w:left="100"/>
              <w:rPr>
                <w:sz w:val="20"/>
                <w:szCs w:val="20"/>
              </w:rPr>
            </w:pPr>
            <w:r>
              <w:rPr>
                <w:rFonts w:eastAsia="Times New Roman"/>
                <w:sz w:val="24"/>
                <w:szCs w:val="24"/>
              </w:rPr>
              <w:t>HZSP Litvínovská uhelná a.s.</w:t>
            </w:r>
          </w:p>
        </w:tc>
      </w:tr>
      <w:tr w:rsidR="00452679" w14:paraId="037DE678" w14:textId="77777777">
        <w:trPr>
          <w:trHeight w:val="276"/>
        </w:trPr>
        <w:tc>
          <w:tcPr>
            <w:tcW w:w="1280" w:type="dxa"/>
            <w:tcBorders>
              <w:left w:val="single" w:sz="8" w:space="0" w:color="auto"/>
              <w:right w:val="single" w:sz="8" w:space="0" w:color="auto"/>
            </w:tcBorders>
            <w:vAlign w:val="bottom"/>
          </w:tcPr>
          <w:p w14:paraId="1EA21C2F" w14:textId="77777777" w:rsidR="00452679" w:rsidRDefault="00452679">
            <w:pPr>
              <w:rPr>
                <w:sz w:val="24"/>
                <w:szCs w:val="24"/>
              </w:rPr>
            </w:pPr>
          </w:p>
        </w:tc>
        <w:tc>
          <w:tcPr>
            <w:tcW w:w="3780" w:type="dxa"/>
            <w:tcBorders>
              <w:right w:val="single" w:sz="8" w:space="0" w:color="auto"/>
            </w:tcBorders>
            <w:vAlign w:val="bottom"/>
          </w:tcPr>
          <w:p w14:paraId="4C200573" w14:textId="77777777" w:rsidR="00452679" w:rsidRDefault="0049724C">
            <w:pPr>
              <w:ind w:left="100"/>
              <w:rPr>
                <w:sz w:val="20"/>
                <w:szCs w:val="20"/>
              </w:rPr>
            </w:pPr>
            <w:r>
              <w:rPr>
                <w:rFonts w:eastAsia="Times New Roman"/>
                <w:sz w:val="24"/>
                <w:szCs w:val="24"/>
              </w:rPr>
              <w:t>SDH Meziboří</w:t>
            </w:r>
          </w:p>
        </w:tc>
      </w:tr>
      <w:tr w:rsidR="00452679" w14:paraId="396F8C48" w14:textId="77777777">
        <w:trPr>
          <w:trHeight w:val="276"/>
        </w:trPr>
        <w:tc>
          <w:tcPr>
            <w:tcW w:w="1280" w:type="dxa"/>
            <w:tcBorders>
              <w:left w:val="single" w:sz="8" w:space="0" w:color="auto"/>
              <w:right w:val="single" w:sz="8" w:space="0" w:color="auto"/>
            </w:tcBorders>
            <w:vAlign w:val="bottom"/>
          </w:tcPr>
          <w:p w14:paraId="0FFF4D55" w14:textId="77777777" w:rsidR="00452679" w:rsidRDefault="00452679">
            <w:pPr>
              <w:rPr>
                <w:sz w:val="24"/>
                <w:szCs w:val="24"/>
              </w:rPr>
            </w:pPr>
          </w:p>
        </w:tc>
        <w:tc>
          <w:tcPr>
            <w:tcW w:w="3780" w:type="dxa"/>
            <w:tcBorders>
              <w:right w:val="single" w:sz="8" w:space="0" w:color="auto"/>
            </w:tcBorders>
            <w:vAlign w:val="bottom"/>
          </w:tcPr>
          <w:p w14:paraId="50467126" w14:textId="77777777" w:rsidR="00452679" w:rsidRDefault="0049724C">
            <w:pPr>
              <w:ind w:left="100"/>
              <w:rPr>
                <w:sz w:val="20"/>
                <w:szCs w:val="20"/>
              </w:rPr>
            </w:pPr>
            <w:r>
              <w:rPr>
                <w:rFonts w:eastAsia="Times New Roman"/>
                <w:sz w:val="24"/>
                <w:szCs w:val="24"/>
              </w:rPr>
              <w:t>SDH Lom</w:t>
            </w:r>
          </w:p>
        </w:tc>
      </w:tr>
      <w:tr w:rsidR="00452679" w14:paraId="106B6D5F" w14:textId="77777777">
        <w:trPr>
          <w:trHeight w:val="276"/>
        </w:trPr>
        <w:tc>
          <w:tcPr>
            <w:tcW w:w="1280" w:type="dxa"/>
            <w:tcBorders>
              <w:left w:val="single" w:sz="8" w:space="0" w:color="auto"/>
              <w:right w:val="single" w:sz="8" w:space="0" w:color="auto"/>
            </w:tcBorders>
            <w:vAlign w:val="bottom"/>
          </w:tcPr>
          <w:p w14:paraId="076578F5" w14:textId="77777777" w:rsidR="00452679" w:rsidRDefault="00452679">
            <w:pPr>
              <w:rPr>
                <w:sz w:val="24"/>
                <w:szCs w:val="24"/>
              </w:rPr>
            </w:pPr>
          </w:p>
        </w:tc>
        <w:tc>
          <w:tcPr>
            <w:tcW w:w="3780" w:type="dxa"/>
            <w:tcBorders>
              <w:right w:val="single" w:sz="8" w:space="0" w:color="auto"/>
            </w:tcBorders>
            <w:vAlign w:val="bottom"/>
          </w:tcPr>
          <w:p w14:paraId="5ADDF777" w14:textId="77777777" w:rsidR="00452679" w:rsidRDefault="0049724C">
            <w:pPr>
              <w:ind w:left="100"/>
              <w:rPr>
                <w:sz w:val="20"/>
                <w:szCs w:val="20"/>
              </w:rPr>
            </w:pPr>
            <w:r>
              <w:rPr>
                <w:rFonts w:eastAsia="Times New Roman"/>
                <w:sz w:val="24"/>
                <w:szCs w:val="24"/>
              </w:rPr>
              <w:t xml:space="preserve">SDH Mariánské </w:t>
            </w:r>
            <w:r>
              <w:rPr>
                <w:rFonts w:eastAsia="Times New Roman"/>
                <w:sz w:val="24"/>
                <w:szCs w:val="24"/>
              </w:rPr>
              <w:t>Radčice</w:t>
            </w:r>
          </w:p>
        </w:tc>
      </w:tr>
      <w:tr w:rsidR="00452679" w14:paraId="691826DF" w14:textId="77777777">
        <w:trPr>
          <w:trHeight w:val="276"/>
        </w:trPr>
        <w:tc>
          <w:tcPr>
            <w:tcW w:w="1280" w:type="dxa"/>
            <w:tcBorders>
              <w:left w:val="single" w:sz="8" w:space="0" w:color="auto"/>
              <w:right w:val="single" w:sz="8" w:space="0" w:color="auto"/>
            </w:tcBorders>
            <w:vAlign w:val="bottom"/>
          </w:tcPr>
          <w:p w14:paraId="044F8086" w14:textId="77777777" w:rsidR="00452679" w:rsidRDefault="00452679">
            <w:pPr>
              <w:rPr>
                <w:sz w:val="24"/>
                <w:szCs w:val="24"/>
              </w:rPr>
            </w:pPr>
          </w:p>
        </w:tc>
        <w:tc>
          <w:tcPr>
            <w:tcW w:w="3780" w:type="dxa"/>
            <w:tcBorders>
              <w:right w:val="single" w:sz="8" w:space="0" w:color="auto"/>
            </w:tcBorders>
            <w:vAlign w:val="bottom"/>
          </w:tcPr>
          <w:p w14:paraId="79025231" w14:textId="77777777" w:rsidR="00452679" w:rsidRDefault="0049724C">
            <w:pPr>
              <w:ind w:left="100"/>
              <w:rPr>
                <w:sz w:val="20"/>
                <w:szCs w:val="20"/>
              </w:rPr>
            </w:pPr>
            <w:r>
              <w:rPr>
                <w:rFonts w:eastAsia="Times New Roman"/>
                <w:sz w:val="24"/>
                <w:szCs w:val="24"/>
              </w:rPr>
              <w:t>SDH Braňany</w:t>
            </w:r>
          </w:p>
        </w:tc>
      </w:tr>
      <w:tr w:rsidR="00452679" w14:paraId="276A0ACD" w14:textId="77777777">
        <w:trPr>
          <w:trHeight w:val="276"/>
        </w:trPr>
        <w:tc>
          <w:tcPr>
            <w:tcW w:w="1280" w:type="dxa"/>
            <w:tcBorders>
              <w:left w:val="single" w:sz="8" w:space="0" w:color="auto"/>
              <w:right w:val="single" w:sz="8" w:space="0" w:color="auto"/>
            </w:tcBorders>
            <w:vAlign w:val="bottom"/>
          </w:tcPr>
          <w:p w14:paraId="5E9829A1" w14:textId="77777777" w:rsidR="00452679" w:rsidRDefault="00452679">
            <w:pPr>
              <w:rPr>
                <w:sz w:val="24"/>
                <w:szCs w:val="24"/>
              </w:rPr>
            </w:pPr>
          </w:p>
        </w:tc>
        <w:tc>
          <w:tcPr>
            <w:tcW w:w="3780" w:type="dxa"/>
            <w:tcBorders>
              <w:right w:val="single" w:sz="8" w:space="0" w:color="auto"/>
            </w:tcBorders>
            <w:vAlign w:val="bottom"/>
          </w:tcPr>
          <w:p w14:paraId="0E81DF8E" w14:textId="77777777" w:rsidR="00452679" w:rsidRDefault="0049724C">
            <w:pPr>
              <w:ind w:left="100"/>
              <w:rPr>
                <w:sz w:val="20"/>
                <w:szCs w:val="20"/>
              </w:rPr>
            </w:pPr>
            <w:r>
              <w:rPr>
                <w:rFonts w:eastAsia="Times New Roman"/>
                <w:sz w:val="24"/>
                <w:szCs w:val="24"/>
              </w:rPr>
              <w:t>HZS Most</w:t>
            </w:r>
          </w:p>
        </w:tc>
      </w:tr>
      <w:tr w:rsidR="00452679" w14:paraId="4198F462" w14:textId="77777777">
        <w:trPr>
          <w:trHeight w:val="276"/>
        </w:trPr>
        <w:tc>
          <w:tcPr>
            <w:tcW w:w="1280" w:type="dxa"/>
            <w:tcBorders>
              <w:left w:val="single" w:sz="8" w:space="0" w:color="auto"/>
              <w:right w:val="single" w:sz="8" w:space="0" w:color="auto"/>
            </w:tcBorders>
            <w:vAlign w:val="bottom"/>
          </w:tcPr>
          <w:p w14:paraId="2A2D2780" w14:textId="77777777" w:rsidR="00452679" w:rsidRDefault="00452679">
            <w:pPr>
              <w:rPr>
                <w:sz w:val="24"/>
                <w:szCs w:val="24"/>
              </w:rPr>
            </w:pPr>
          </w:p>
        </w:tc>
        <w:tc>
          <w:tcPr>
            <w:tcW w:w="3780" w:type="dxa"/>
            <w:tcBorders>
              <w:right w:val="single" w:sz="8" w:space="0" w:color="auto"/>
            </w:tcBorders>
            <w:vAlign w:val="bottom"/>
          </w:tcPr>
          <w:p w14:paraId="215128DA" w14:textId="77777777" w:rsidR="00452679" w:rsidRDefault="0049724C">
            <w:pPr>
              <w:ind w:left="100"/>
              <w:rPr>
                <w:sz w:val="20"/>
                <w:szCs w:val="20"/>
              </w:rPr>
            </w:pPr>
            <w:r>
              <w:rPr>
                <w:rFonts w:eastAsia="Times New Roman"/>
                <w:sz w:val="24"/>
                <w:szCs w:val="24"/>
              </w:rPr>
              <w:t>SDH Osek</w:t>
            </w:r>
          </w:p>
        </w:tc>
      </w:tr>
      <w:tr w:rsidR="00452679" w14:paraId="1DB17211" w14:textId="77777777">
        <w:trPr>
          <w:trHeight w:val="276"/>
        </w:trPr>
        <w:tc>
          <w:tcPr>
            <w:tcW w:w="1280" w:type="dxa"/>
            <w:tcBorders>
              <w:left w:val="single" w:sz="8" w:space="0" w:color="auto"/>
              <w:right w:val="single" w:sz="8" w:space="0" w:color="auto"/>
            </w:tcBorders>
            <w:vAlign w:val="bottom"/>
          </w:tcPr>
          <w:p w14:paraId="23E42E7E" w14:textId="77777777" w:rsidR="00452679" w:rsidRDefault="00452679">
            <w:pPr>
              <w:rPr>
                <w:sz w:val="24"/>
                <w:szCs w:val="24"/>
              </w:rPr>
            </w:pPr>
          </w:p>
        </w:tc>
        <w:tc>
          <w:tcPr>
            <w:tcW w:w="3780" w:type="dxa"/>
            <w:tcBorders>
              <w:right w:val="single" w:sz="8" w:space="0" w:color="auto"/>
            </w:tcBorders>
            <w:vAlign w:val="bottom"/>
          </w:tcPr>
          <w:p w14:paraId="03D857EB" w14:textId="77777777" w:rsidR="00452679" w:rsidRDefault="0049724C">
            <w:pPr>
              <w:ind w:left="100"/>
              <w:rPr>
                <w:sz w:val="20"/>
                <w:szCs w:val="20"/>
              </w:rPr>
            </w:pPr>
            <w:r>
              <w:rPr>
                <w:rFonts w:eastAsia="Times New Roman"/>
                <w:sz w:val="24"/>
                <w:szCs w:val="24"/>
              </w:rPr>
              <w:t>SDH Moldava</w:t>
            </w:r>
          </w:p>
        </w:tc>
      </w:tr>
      <w:tr w:rsidR="00452679" w14:paraId="325EAB4F" w14:textId="77777777">
        <w:trPr>
          <w:trHeight w:val="279"/>
        </w:trPr>
        <w:tc>
          <w:tcPr>
            <w:tcW w:w="1280" w:type="dxa"/>
            <w:tcBorders>
              <w:left w:val="single" w:sz="8" w:space="0" w:color="auto"/>
              <w:bottom w:val="single" w:sz="8" w:space="0" w:color="auto"/>
              <w:right w:val="single" w:sz="8" w:space="0" w:color="auto"/>
            </w:tcBorders>
            <w:vAlign w:val="bottom"/>
          </w:tcPr>
          <w:p w14:paraId="3B71C9A6" w14:textId="77777777" w:rsidR="00452679" w:rsidRDefault="00452679">
            <w:pPr>
              <w:rPr>
                <w:sz w:val="24"/>
                <w:szCs w:val="24"/>
              </w:rPr>
            </w:pPr>
          </w:p>
        </w:tc>
        <w:tc>
          <w:tcPr>
            <w:tcW w:w="3780" w:type="dxa"/>
            <w:tcBorders>
              <w:bottom w:val="single" w:sz="8" w:space="0" w:color="auto"/>
              <w:right w:val="single" w:sz="8" w:space="0" w:color="auto"/>
            </w:tcBorders>
            <w:vAlign w:val="bottom"/>
          </w:tcPr>
          <w:p w14:paraId="1751A61F" w14:textId="77777777" w:rsidR="00452679" w:rsidRDefault="00452679">
            <w:pPr>
              <w:rPr>
                <w:sz w:val="24"/>
                <w:szCs w:val="24"/>
              </w:rPr>
            </w:pPr>
          </w:p>
        </w:tc>
      </w:tr>
    </w:tbl>
    <w:p w14:paraId="74DECA71" w14:textId="77777777" w:rsidR="00452679" w:rsidRDefault="00452679">
      <w:pPr>
        <w:sectPr w:rsidR="00452679">
          <w:pgSz w:w="11900" w:h="16838"/>
          <w:pgMar w:top="1415" w:right="1440" w:bottom="1440" w:left="1420" w:header="0" w:footer="0" w:gutter="0"/>
          <w:cols w:space="708" w:equalWidth="0">
            <w:col w:w="9046"/>
          </w:cols>
        </w:sectPr>
      </w:pPr>
    </w:p>
    <w:p w14:paraId="22093B9A" w14:textId="77777777" w:rsidR="00452679" w:rsidRDefault="0049724C">
      <w:pPr>
        <w:rPr>
          <w:sz w:val="20"/>
          <w:szCs w:val="20"/>
        </w:rPr>
      </w:pPr>
      <w:bookmarkStart w:id="4" w:name="page5"/>
      <w:bookmarkEnd w:id="4"/>
      <w:r>
        <w:rPr>
          <w:rFonts w:eastAsia="Times New Roman"/>
          <w:b/>
          <w:bCs/>
          <w:sz w:val="24"/>
          <w:szCs w:val="24"/>
        </w:rPr>
        <w:t>Příloha č. 2 obecně závazné vyhlášky č. 1/2017, požární řád</w:t>
      </w:r>
    </w:p>
    <w:p w14:paraId="574041CF" w14:textId="77777777" w:rsidR="00452679" w:rsidRDefault="00452679">
      <w:pPr>
        <w:spacing w:line="200" w:lineRule="exact"/>
        <w:rPr>
          <w:sz w:val="20"/>
          <w:szCs w:val="20"/>
        </w:rPr>
      </w:pPr>
    </w:p>
    <w:p w14:paraId="57298B3F" w14:textId="77777777" w:rsidR="00452679" w:rsidRDefault="00452679">
      <w:pPr>
        <w:spacing w:line="352" w:lineRule="exact"/>
        <w:rPr>
          <w:sz w:val="20"/>
          <w:szCs w:val="20"/>
        </w:rPr>
      </w:pPr>
    </w:p>
    <w:p w14:paraId="6FCFE30D" w14:textId="77777777" w:rsidR="00452679" w:rsidRDefault="0049724C">
      <w:pPr>
        <w:numPr>
          <w:ilvl w:val="0"/>
          <w:numId w:val="11"/>
        </w:numPr>
        <w:tabs>
          <w:tab w:val="left" w:pos="1560"/>
        </w:tabs>
        <w:ind w:left="1560" w:hanging="304"/>
        <w:rPr>
          <w:rFonts w:eastAsia="Times New Roman"/>
          <w:b/>
          <w:bCs/>
          <w:sz w:val="24"/>
          <w:szCs w:val="24"/>
        </w:rPr>
      </w:pPr>
      <w:r>
        <w:rPr>
          <w:rFonts w:eastAsia="Times New Roman"/>
          <w:b/>
          <w:bCs/>
          <w:sz w:val="24"/>
          <w:szCs w:val="24"/>
          <w:u w:val="single"/>
        </w:rPr>
        <w:t>Dislokace, kategorie a početní stav JSDH Nová Ves v Horách</w:t>
      </w:r>
    </w:p>
    <w:p w14:paraId="15464A88" w14:textId="77777777" w:rsidR="00452679" w:rsidRDefault="00452679">
      <w:pPr>
        <w:spacing w:line="259" w:lineRule="exact"/>
        <w:rPr>
          <w:sz w:val="20"/>
          <w:szCs w:val="20"/>
        </w:rPr>
      </w:pPr>
    </w:p>
    <w:tbl>
      <w:tblPr>
        <w:tblW w:w="0" w:type="auto"/>
        <w:tblInd w:w="30" w:type="dxa"/>
        <w:tblLayout w:type="fixed"/>
        <w:tblCellMar>
          <w:left w:w="0" w:type="dxa"/>
          <w:right w:w="0" w:type="dxa"/>
        </w:tblCellMar>
        <w:tblLook w:val="04A0" w:firstRow="1" w:lastRow="0" w:firstColumn="1" w:lastColumn="0" w:noHBand="0" w:noVBand="1"/>
      </w:tblPr>
      <w:tblGrid>
        <w:gridCol w:w="1220"/>
        <w:gridCol w:w="1600"/>
        <w:gridCol w:w="780"/>
        <w:gridCol w:w="1980"/>
        <w:gridCol w:w="900"/>
        <w:gridCol w:w="30"/>
        <w:gridCol w:w="1340"/>
        <w:gridCol w:w="1220"/>
      </w:tblGrid>
      <w:tr w:rsidR="00452679" w14:paraId="66EE6FAC" w14:textId="77777777">
        <w:trPr>
          <w:trHeight w:val="283"/>
        </w:trPr>
        <w:tc>
          <w:tcPr>
            <w:tcW w:w="1220" w:type="dxa"/>
            <w:tcBorders>
              <w:right w:val="single" w:sz="8" w:space="0" w:color="auto"/>
            </w:tcBorders>
            <w:vAlign w:val="bottom"/>
          </w:tcPr>
          <w:p w14:paraId="44A610F5" w14:textId="77777777" w:rsidR="00452679" w:rsidRDefault="00452679">
            <w:pPr>
              <w:rPr>
                <w:sz w:val="24"/>
                <w:szCs w:val="24"/>
              </w:rPr>
            </w:pPr>
          </w:p>
        </w:tc>
        <w:tc>
          <w:tcPr>
            <w:tcW w:w="2380" w:type="dxa"/>
            <w:gridSpan w:val="2"/>
            <w:tcBorders>
              <w:top w:val="single" w:sz="8" w:space="0" w:color="auto"/>
              <w:right w:val="single" w:sz="8" w:space="0" w:color="auto"/>
            </w:tcBorders>
            <w:vAlign w:val="bottom"/>
          </w:tcPr>
          <w:p w14:paraId="31E560C5" w14:textId="77777777" w:rsidR="00452679" w:rsidRDefault="0049724C">
            <w:pPr>
              <w:ind w:right="40"/>
              <w:jc w:val="center"/>
              <w:rPr>
                <w:sz w:val="20"/>
                <w:szCs w:val="20"/>
              </w:rPr>
            </w:pPr>
            <w:r>
              <w:rPr>
                <w:rFonts w:eastAsia="Times New Roman"/>
                <w:b/>
                <w:bCs/>
                <w:w w:val="99"/>
                <w:sz w:val="24"/>
                <w:szCs w:val="24"/>
              </w:rPr>
              <w:t>Dislokace JSDH</w:t>
            </w:r>
          </w:p>
        </w:tc>
        <w:tc>
          <w:tcPr>
            <w:tcW w:w="1980" w:type="dxa"/>
            <w:tcBorders>
              <w:top w:val="single" w:sz="8" w:space="0" w:color="auto"/>
              <w:right w:val="single" w:sz="8" w:space="0" w:color="auto"/>
            </w:tcBorders>
            <w:vAlign w:val="bottom"/>
          </w:tcPr>
          <w:p w14:paraId="47BE3045" w14:textId="77777777" w:rsidR="00452679" w:rsidRDefault="0049724C">
            <w:pPr>
              <w:jc w:val="center"/>
              <w:rPr>
                <w:sz w:val="20"/>
                <w:szCs w:val="20"/>
              </w:rPr>
            </w:pPr>
            <w:r>
              <w:rPr>
                <w:rFonts w:eastAsia="Times New Roman"/>
                <w:b/>
                <w:bCs/>
                <w:sz w:val="24"/>
                <w:szCs w:val="24"/>
              </w:rPr>
              <w:t>Kategorie JSDH</w:t>
            </w:r>
          </w:p>
        </w:tc>
        <w:tc>
          <w:tcPr>
            <w:tcW w:w="2260" w:type="dxa"/>
            <w:gridSpan w:val="3"/>
            <w:tcBorders>
              <w:top w:val="single" w:sz="8" w:space="0" w:color="auto"/>
              <w:right w:val="single" w:sz="8" w:space="0" w:color="auto"/>
            </w:tcBorders>
            <w:vAlign w:val="bottom"/>
          </w:tcPr>
          <w:p w14:paraId="664EA493" w14:textId="77777777" w:rsidR="00452679" w:rsidRDefault="0049724C">
            <w:pPr>
              <w:jc w:val="center"/>
              <w:rPr>
                <w:sz w:val="20"/>
                <w:szCs w:val="20"/>
              </w:rPr>
            </w:pPr>
            <w:r>
              <w:rPr>
                <w:rFonts w:eastAsia="Times New Roman"/>
                <w:b/>
                <w:bCs/>
                <w:w w:val="99"/>
                <w:sz w:val="24"/>
                <w:szCs w:val="24"/>
              </w:rPr>
              <w:t xml:space="preserve">Počet členů </w:t>
            </w:r>
            <w:r>
              <w:rPr>
                <w:rFonts w:eastAsia="Times New Roman"/>
                <w:b/>
                <w:bCs/>
                <w:w w:val="99"/>
                <w:sz w:val="24"/>
                <w:szCs w:val="24"/>
              </w:rPr>
              <w:t>JSDH</w:t>
            </w:r>
          </w:p>
        </w:tc>
        <w:tc>
          <w:tcPr>
            <w:tcW w:w="1220" w:type="dxa"/>
            <w:vAlign w:val="bottom"/>
          </w:tcPr>
          <w:p w14:paraId="720C8F9D" w14:textId="77777777" w:rsidR="00452679" w:rsidRDefault="00452679">
            <w:pPr>
              <w:rPr>
                <w:sz w:val="24"/>
                <w:szCs w:val="24"/>
              </w:rPr>
            </w:pPr>
          </w:p>
        </w:tc>
      </w:tr>
      <w:tr w:rsidR="00452679" w14:paraId="607E383C" w14:textId="77777777">
        <w:trPr>
          <w:trHeight w:val="276"/>
        </w:trPr>
        <w:tc>
          <w:tcPr>
            <w:tcW w:w="1220" w:type="dxa"/>
            <w:tcBorders>
              <w:right w:val="single" w:sz="8" w:space="0" w:color="auto"/>
            </w:tcBorders>
            <w:vAlign w:val="bottom"/>
          </w:tcPr>
          <w:p w14:paraId="643EFA37" w14:textId="77777777" w:rsidR="00452679" w:rsidRDefault="00452679">
            <w:pPr>
              <w:rPr>
                <w:sz w:val="24"/>
                <w:szCs w:val="24"/>
              </w:rPr>
            </w:pPr>
          </w:p>
        </w:tc>
        <w:tc>
          <w:tcPr>
            <w:tcW w:w="2380" w:type="dxa"/>
            <w:gridSpan w:val="2"/>
            <w:tcBorders>
              <w:right w:val="single" w:sz="8" w:space="0" w:color="auto"/>
            </w:tcBorders>
            <w:vAlign w:val="bottom"/>
          </w:tcPr>
          <w:p w14:paraId="5F11FCED" w14:textId="77777777" w:rsidR="00452679" w:rsidRDefault="0049724C">
            <w:pPr>
              <w:ind w:right="40"/>
              <w:jc w:val="center"/>
              <w:rPr>
                <w:sz w:val="20"/>
                <w:szCs w:val="20"/>
              </w:rPr>
            </w:pPr>
            <w:r>
              <w:rPr>
                <w:rFonts w:eastAsia="Times New Roman"/>
                <w:b/>
                <w:bCs/>
                <w:w w:val="99"/>
                <w:sz w:val="24"/>
                <w:szCs w:val="24"/>
              </w:rPr>
              <w:t>Nová Ves v Horách</w:t>
            </w:r>
          </w:p>
        </w:tc>
        <w:tc>
          <w:tcPr>
            <w:tcW w:w="1980" w:type="dxa"/>
            <w:tcBorders>
              <w:right w:val="single" w:sz="8" w:space="0" w:color="auto"/>
            </w:tcBorders>
            <w:vAlign w:val="bottom"/>
          </w:tcPr>
          <w:p w14:paraId="5020EDFB" w14:textId="77777777" w:rsidR="00452679" w:rsidRDefault="0049724C">
            <w:pPr>
              <w:jc w:val="center"/>
              <w:rPr>
                <w:sz w:val="20"/>
                <w:szCs w:val="20"/>
              </w:rPr>
            </w:pPr>
            <w:r>
              <w:rPr>
                <w:rFonts w:eastAsia="Times New Roman"/>
                <w:b/>
                <w:bCs/>
                <w:w w:val="99"/>
                <w:sz w:val="24"/>
                <w:szCs w:val="24"/>
              </w:rPr>
              <w:t>Nová Ves v</w:t>
            </w:r>
          </w:p>
        </w:tc>
        <w:tc>
          <w:tcPr>
            <w:tcW w:w="2260" w:type="dxa"/>
            <w:gridSpan w:val="3"/>
            <w:tcBorders>
              <w:right w:val="single" w:sz="8" w:space="0" w:color="auto"/>
            </w:tcBorders>
            <w:vAlign w:val="bottom"/>
          </w:tcPr>
          <w:p w14:paraId="1A56A6E1" w14:textId="77777777" w:rsidR="00452679" w:rsidRDefault="0049724C">
            <w:pPr>
              <w:jc w:val="center"/>
              <w:rPr>
                <w:sz w:val="20"/>
                <w:szCs w:val="20"/>
              </w:rPr>
            </w:pPr>
            <w:r>
              <w:rPr>
                <w:rFonts w:eastAsia="Times New Roman"/>
                <w:b/>
                <w:bCs/>
                <w:w w:val="99"/>
                <w:sz w:val="24"/>
                <w:szCs w:val="24"/>
              </w:rPr>
              <w:t>Nová Ves v Horách</w:t>
            </w:r>
          </w:p>
        </w:tc>
        <w:tc>
          <w:tcPr>
            <w:tcW w:w="1220" w:type="dxa"/>
            <w:vAlign w:val="bottom"/>
          </w:tcPr>
          <w:p w14:paraId="094CC069" w14:textId="77777777" w:rsidR="00452679" w:rsidRDefault="00452679">
            <w:pPr>
              <w:rPr>
                <w:sz w:val="24"/>
                <w:szCs w:val="24"/>
              </w:rPr>
            </w:pPr>
          </w:p>
        </w:tc>
      </w:tr>
      <w:tr w:rsidR="00452679" w14:paraId="4CDAF242" w14:textId="77777777">
        <w:trPr>
          <w:trHeight w:val="277"/>
        </w:trPr>
        <w:tc>
          <w:tcPr>
            <w:tcW w:w="1220" w:type="dxa"/>
            <w:tcBorders>
              <w:right w:val="single" w:sz="8" w:space="0" w:color="auto"/>
            </w:tcBorders>
            <w:vAlign w:val="bottom"/>
          </w:tcPr>
          <w:p w14:paraId="6540498F" w14:textId="77777777" w:rsidR="00452679" w:rsidRDefault="00452679">
            <w:pPr>
              <w:rPr>
                <w:sz w:val="24"/>
                <w:szCs w:val="24"/>
              </w:rPr>
            </w:pPr>
          </w:p>
        </w:tc>
        <w:tc>
          <w:tcPr>
            <w:tcW w:w="1600" w:type="dxa"/>
            <w:tcBorders>
              <w:bottom w:val="single" w:sz="8" w:space="0" w:color="auto"/>
            </w:tcBorders>
            <w:vAlign w:val="bottom"/>
          </w:tcPr>
          <w:p w14:paraId="6E52E523" w14:textId="77777777" w:rsidR="00452679" w:rsidRDefault="00452679">
            <w:pPr>
              <w:rPr>
                <w:sz w:val="24"/>
                <w:szCs w:val="24"/>
              </w:rPr>
            </w:pPr>
          </w:p>
        </w:tc>
        <w:tc>
          <w:tcPr>
            <w:tcW w:w="780" w:type="dxa"/>
            <w:tcBorders>
              <w:bottom w:val="single" w:sz="8" w:space="0" w:color="auto"/>
              <w:right w:val="single" w:sz="8" w:space="0" w:color="auto"/>
            </w:tcBorders>
            <w:vAlign w:val="bottom"/>
          </w:tcPr>
          <w:p w14:paraId="7D2D6905" w14:textId="77777777" w:rsidR="00452679" w:rsidRDefault="00452679">
            <w:pPr>
              <w:rPr>
                <w:sz w:val="24"/>
                <w:szCs w:val="24"/>
              </w:rPr>
            </w:pPr>
          </w:p>
        </w:tc>
        <w:tc>
          <w:tcPr>
            <w:tcW w:w="1980" w:type="dxa"/>
            <w:tcBorders>
              <w:bottom w:val="single" w:sz="8" w:space="0" w:color="auto"/>
              <w:right w:val="single" w:sz="8" w:space="0" w:color="auto"/>
            </w:tcBorders>
            <w:vAlign w:val="bottom"/>
          </w:tcPr>
          <w:p w14:paraId="5222E804" w14:textId="77777777" w:rsidR="00452679" w:rsidRDefault="0049724C">
            <w:pPr>
              <w:jc w:val="center"/>
              <w:rPr>
                <w:sz w:val="20"/>
                <w:szCs w:val="20"/>
              </w:rPr>
            </w:pPr>
            <w:r>
              <w:rPr>
                <w:rFonts w:eastAsia="Times New Roman"/>
                <w:b/>
                <w:bCs/>
                <w:sz w:val="24"/>
                <w:szCs w:val="24"/>
              </w:rPr>
              <w:t>Horách</w:t>
            </w:r>
          </w:p>
        </w:tc>
        <w:tc>
          <w:tcPr>
            <w:tcW w:w="900" w:type="dxa"/>
            <w:tcBorders>
              <w:bottom w:val="single" w:sz="8" w:space="0" w:color="auto"/>
            </w:tcBorders>
            <w:vAlign w:val="bottom"/>
          </w:tcPr>
          <w:p w14:paraId="202BBD64" w14:textId="77777777" w:rsidR="00452679" w:rsidRDefault="00452679">
            <w:pPr>
              <w:rPr>
                <w:sz w:val="24"/>
                <w:szCs w:val="24"/>
              </w:rPr>
            </w:pPr>
          </w:p>
        </w:tc>
        <w:tc>
          <w:tcPr>
            <w:tcW w:w="20" w:type="dxa"/>
            <w:tcBorders>
              <w:bottom w:val="single" w:sz="8" w:space="0" w:color="auto"/>
            </w:tcBorders>
            <w:vAlign w:val="bottom"/>
          </w:tcPr>
          <w:p w14:paraId="490D7A4C" w14:textId="77777777" w:rsidR="00452679" w:rsidRDefault="00452679">
            <w:pPr>
              <w:rPr>
                <w:sz w:val="24"/>
                <w:szCs w:val="24"/>
              </w:rPr>
            </w:pPr>
          </w:p>
        </w:tc>
        <w:tc>
          <w:tcPr>
            <w:tcW w:w="1340" w:type="dxa"/>
            <w:tcBorders>
              <w:bottom w:val="single" w:sz="8" w:space="0" w:color="auto"/>
              <w:right w:val="single" w:sz="8" w:space="0" w:color="auto"/>
            </w:tcBorders>
            <w:vAlign w:val="bottom"/>
          </w:tcPr>
          <w:p w14:paraId="25198EB3" w14:textId="77777777" w:rsidR="00452679" w:rsidRDefault="00452679">
            <w:pPr>
              <w:rPr>
                <w:sz w:val="24"/>
                <w:szCs w:val="24"/>
              </w:rPr>
            </w:pPr>
          </w:p>
        </w:tc>
        <w:tc>
          <w:tcPr>
            <w:tcW w:w="1220" w:type="dxa"/>
            <w:vAlign w:val="bottom"/>
          </w:tcPr>
          <w:p w14:paraId="608441BE" w14:textId="77777777" w:rsidR="00452679" w:rsidRDefault="00452679">
            <w:pPr>
              <w:rPr>
                <w:sz w:val="24"/>
                <w:szCs w:val="24"/>
              </w:rPr>
            </w:pPr>
          </w:p>
        </w:tc>
      </w:tr>
      <w:tr w:rsidR="00452679" w14:paraId="0D1F8399" w14:textId="77777777">
        <w:trPr>
          <w:trHeight w:val="266"/>
        </w:trPr>
        <w:tc>
          <w:tcPr>
            <w:tcW w:w="1220" w:type="dxa"/>
            <w:tcBorders>
              <w:right w:val="single" w:sz="8" w:space="0" w:color="auto"/>
            </w:tcBorders>
            <w:vAlign w:val="bottom"/>
          </w:tcPr>
          <w:p w14:paraId="068CBED3" w14:textId="77777777" w:rsidR="00452679" w:rsidRDefault="00452679">
            <w:pPr>
              <w:rPr>
                <w:sz w:val="23"/>
                <w:szCs w:val="23"/>
              </w:rPr>
            </w:pPr>
          </w:p>
        </w:tc>
        <w:tc>
          <w:tcPr>
            <w:tcW w:w="2380" w:type="dxa"/>
            <w:gridSpan w:val="2"/>
            <w:tcBorders>
              <w:bottom w:val="single" w:sz="8" w:space="0" w:color="auto"/>
              <w:right w:val="single" w:sz="8" w:space="0" w:color="auto"/>
            </w:tcBorders>
            <w:vAlign w:val="bottom"/>
          </w:tcPr>
          <w:p w14:paraId="608146E5" w14:textId="77777777" w:rsidR="00452679" w:rsidRDefault="0049724C">
            <w:pPr>
              <w:spacing w:line="264" w:lineRule="exact"/>
              <w:ind w:right="40"/>
              <w:jc w:val="center"/>
              <w:rPr>
                <w:sz w:val="20"/>
                <w:szCs w:val="20"/>
              </w:rPr>
            </w:pPr>
            <w:r>
              <w:rPr>
                <w:rFonts w:eastAsia="Times New Roman"/>
                <w:sz w:val="24"/>
                <w:szCs w:val="24"/>
              </w:rPr>
              <w:t>Nová Ves v Horách</w:t>
            </w:r>
          </w:p>
        </w:tc>
        <w:tc>
          <w:tcPr>
            <w:tcW w:w="1980" w:type="dxa"/>
            <w:tcBorders>
              <w:bottom w:val="single" w:sz="8" w:space="0" w:color="auto"/>
              <w:right w:val="single" w:sz="8" w:space="0" w:color="auto"/>
            </w:tcBorders>
            <w:vAlign w:val="bottom"/>
          </w:tcPr>
          <w:p w14:paraId="5A899967" w14:textId="77777777" w:rsidR="00452679" w:rsidRDefault="0049724C">
            <w:pPr>
              <w:spacing w:line="264" w:lineRule="exact"/>
              <w:jc w:val="center"/>
              <w:rPr>
                <w:sz w:val="20"/>
                <w:szCs w:val="20"/>
              </w:rPr>
            </w:pPr>
            <w:r>
              <w:rPr>
                <w:rFonts w:eastAsia="Times New Roman"/>
                <w:w w:val="99"/>
                <w:sz w:val="24"/>
                <w:szCs w:val="24"/>
              </w:rPr>
              <w:t>JPO III</w:t>
            </w:r>
          </w:p>
        </w:tc>
        <w:tc>
          <w:tcPr>
            <w:tcW w:w="900" w:type="dxa"/>
            <w:tcBorders>
              <w:bottom w:val="single" w:sz="8" w:space="0" w:color="auto"/>
            </w:tcBorders>
            <w:vAlign w:val="bottom"/>
          </w:tcPr>
          <w:p w14:paraId="6BCEF8EE" w14:textId="77777777" w:rsidR="00452679" w:rsidRDefault="00452679">
            <w:pPr>
              <w:rPr>
                <w:sz w:val="23"/>
                <w:szCs w:val="23"/>
              </w:rPr>
            </w:pPr>
          </w:p>
        </w:tc>
        <w:tc>
          <w:tcPr>
            <w:tcW w:w="20" w:type="dxa"/>
            <w:tcBorders>
              <w:bottom w:val="single" w:sz="8" w:space="0" w:color="auto"/>
            </w:tcBorders>
            <w:vAlign w:val="bottom"/>
          </w:tcPr>
          <w:p w14:paraId="7E30AD9B" w14:textId="77777777" w:rsidR="00452679" w:rsidRDefault="00452679">
            <w:pPr>
              <w:rPr>
                <w:sz w:val="23"/>
                <w:szCs w:val="23"/>
              </w:rPr>
            </w:pPr>
          </w:p>
        </w:tc>
        <w:tc>
          <w:tcPr>
            <w:tcW w:w="1340" w:type="dxa"/>
            <w:tcBorders>
              <w:bottom w:val="single" w:sz="8" w:space="0" w:color="auto"/>
              <w:right w:val="single" w:sz="8" w:space="0" w:color="auto"/>
            </w:tcBorders>
            <w:vAlign w:val="bottom"/>
          </w:tcPr>
          <w:p w14:paraId="2C8109EC" w14:textId="77777777" w:rsidR="00452679" w:rsidRDefault="0049724C">
            <w:pPr>
              <w:spacing w:line="264" w:lineRule="exact"/>
              <w:ind w:right="820"/>
              <w:jc w:val="center"/>
              <w:rPr>
                <w:sz w:val="20"/>
                <w:szCs w:val="20"/>
              </w:rPr>
            </w:pPr>
            <w:r>
              <w:rPr>
                <w:rFonts w:eastAsia="Times New Roman"/>
                <w:w w:val="99"/>
                <w:sz w:val="24"/>
                <w:szCs w:val="24"/>
              </w:rPr>
              <w:t>13</w:t>
            </w:r>
          </w:p>
        </w:tc>
        <w:tc>
          <w:tcPr>
            <w:tcW w:w="1220" w:type="dxa"/>
            <w:vAlign w:val="bottom"/>
          </w:tcPr>
          <w:p w14:paraId="6D666AE3" w14:textId="77777777" w:rsidR="00452679" w:rsidRDefault="00452679">
            <w:pPr>
              <w:rPr>
                <w:sz w:val="23"/>
                <w:szCs w:val="23"/>
              </w:rPr>
            </w:pPr>
          </w:p>
        </w:tc>
      </w:tr>
      <w:tr w:rsidR="00452679" w14:paraId="128C2CE4" w14:textId="77777777">
        <w:trPr>
          <w:trHeight w:val="797"/>
        </w:trPr>
        <w:tc>
          <w:tcPr>
            <w:tcW w:w="1220" w:type="dxa"/>
            <w:vAlign w:val="bottom"/>
          </w:tcPr>
          <w:p w14:paraId="0D084540" w14:textId="77777777" w:rsidR="00452679" w:rsidRDefault="00452679">
            <w:pPr>
              <w:rPr>
                <w:sz w:val="24"/>
                <w:szCs w:val="24"/>
              </w:rPr>
            </w:pPr>
          </w:p>
        </w:tc>
        <w:tc>
          <w:tcPr>
            <w:tcW w:w="5280" w:type="dxa"/>
            <w:gridSpan w:val="5"/>
            <w:vAlign w:val="bottom"/>
          </w:tcPr>
          <w:p w14:paraId="1155525D" w14:textId="77777777" w:rsidR="00452679" w:rsidRDefault="0049724C">
            <w:pPr>
              <w:ind w:left="1300"/>
              <w:rPr>
                <w:sz w:val="20"/>
                <w:szCs w:val="20"/>
              </w:rPr>
            </w:pPr>
            <w:r>
              <w:rPr>
                <w:rFonts w:eastAsia="Times New Roman"/>
                <w:b/>
                <w:bCs/>
                <w:w w:val="99"/>
                <w:sz w:val="24"/>
                <w:szCs w:val="24"/>
              </w:rPr>
              <w:t>B) Vybavení JSDH Nová Ves v Horách</w:t>
            </w:r>
          </w:p>
        </w:tc>
        <w:tc>
          <w:tcPr>
            <w:tcW w:w="1340" w:type="dxa"/>
            <w:vAlign w:val="bottom"/>
          </w:tcPr>
          <w:p w14:paraId="11457069" w14:textId="77777777" w:rsidR="00452679" w:rsidRDefault="00452679">
            <w:pPr>
              <w:rPr>
                <w:sz w:val="24"/>
                <w:szCs w:val="24"/>
              </w:rPr>
            </w:pPr>
          </w:p>
        </w:tc>
        <w:tc>
          <w:tcPr>
            <w:tcW w:w="1220" w:type="dxa"/>
            <w:vAlign w:val="bottom"/>
          </w:tcPr>
          <w:p w14:paraId="2FF62F95" w14:textId="77777777" w:rsidR="00452679" w:rsidRDefault="00452679">
            <w:pPr>
              <w:rPr>
                <w:sz w:val="24"/>
                <w:szCs w:val="24"/>
              </w:rPr>
            </w:pPr>
          </w:p>
        </w:tc>
      </w:tr>
      <w:tr w:rsidR="00452679" w14:paraId="5E6C2FBF" w14:textId="77777777">
        <w:trPr>
          <w:trHeight w:val="555"/>
        </w:trPr>
        <w:tc>
          <w:tcPr>
            <w:tcW w:w="2820" w:type="dxa"/>
            <w:gridSpan w:val="2"/>
            <w:tcBorders>
              <w:bottom w:val="single" w:sz="8" w:space="0" w:color="auto"/>
            </w:tcBorders>
            <w:vAlign w:val="bottom"/>
          </w:tcPr>
          <w:p w14:paraId="26A2DE6D" w14:textId="77777777" w:rsidR="00452679" w:rsidRDefault="00452679">
            <w:pPr>
              <w:rPr>
                <w:sz w:val="24"/>
                <w:szCs w:val="24"/>
              </w:rPr>
            </w:pPr>
          </w:p>
        </w:tc>
        <w:tc>
          <w:tcPr>
            <w:tcW w:w="3660" w:type="dxa"/>
            <w:gridSpan w:val="3"/>
            <w:tcBorders>
              <w:top w:val="single" w:sz="8" w:space="0" w:color="auto"/>
              <w:bottom w:val="single" w:sz="8" w:space="0" w:color="auto"/>
            </w:tcBorders>
            <w:vAlign w:val="bottom"/>
          </w:tcPr>
          <w:p w14:paraId="513BCCE5" w14:textId="77777777" w:rsidR="00452679" w:rsidRDefault="00452679">
            <w:pPr>
              <w:rPr>
                <w:sz w:val="24"/>
                <w:szCs w:val="24"/>
              </w:rPr>
            </w:pPr>
          </w:p>
        </w:tc>
        <w:tc>
          <w:tcPr>
            <w:tcW w:w="20" w:type="dxa"/>
            <w:tcBorders>
              <w:top w:val="single" w:sz="8" w:space="0" w:color="auto"/>
              <w:bottom w:val="single" w:sz="8" w:space="0" w:color="auto"/>
            </w:tcBorders>
            <w:vAlign w:val="bottom"/>
          </w:tcPr>
          <w:p w14:paraId="7E304A19" w14:textId="77777777" w:rsidR="00452679" w:rsidRDefault="00452679">
            <w:pPr>
              <w:rPr>
                <w:sz w:val="24"/>
                <w:szCs w:val="24"/>
              </w:rPr>
            </w:pPr>
          </w:p>
        </w:tc>
        <w:tc>
          <w:tcPr>
            <w:tcW w:w="2540" w:type="dxa"/>
            <w:gridSpan w:val="2"/>
            <w:tcBorders>
              <w:bottom w:val="single" w:sz="8" w:space="0" w:color="auto"/>
            </w:tcBorders>
            <w:vAlign w:val="bottom"/>
          </w:tcPr>
          <w:p w14:paraId="1D97AA47" w14:textId="77777777" w:rsidR="00452679" w:rsidRDefault="00452679">
            <w:pPr>
              <w:rPr>
                <w:sz w:val="24"/>
                <w:szCs w:val="24"/>
              </w:rPr>
            </w:pPr>
          </w:p>
        </w:tc>
      </w:tr>
      <w:tr w:rsidR="00452679" w14:paraId="3C5EF59A" w14:textId="77777777">
        <w:trPr>
          <w:trHeight w:val="263"/>
        </w:trPr>
        <w:tc>
          <w:tcPr>
            <w:tcW w:w="6480" w:type="dxa"/>
            <w:gridSpan w:val="5"/>
            <w:tcBorders>
              <w:left w:val="single" w:sz="8" w:space="0" w:color="auto"/>
              <w:right w:val="single" w:sz="8" w:space="0" w:color="auto"/>
            </w:tcBorders>
            <w:vAlign w:val="bottom"/>
          </w:tcPr>
          <w:p w14:paraId="777096F0" w14:textId="77777777" w:rsidR="00452679" w:rsidRDefault="0049724C">
            <w:pPr>
              <w:spacing w:line="263" w:lineRule="exact"/>
              <w:ind w:left="500"/>
              <w:rPr>
                <w:sz w:val="20"/>
                <w:szCs w:val="20"/>
              </w:rPr>
            </w:pPr>
            <w:r>
              <w:rPr>
                <w:rFonts w:eastAsia="Times New Roman"/>
                <w:b/>
                <w:bCs/>
                <w:sz w:val="24"/>
                <w:szCs w:val="24"/>
              </w:rPr>
              <w:t>Požární technika a věcné prostředky požární ochrany</w:t>
            </w:r>
          </w:p>
        </w:tc>
        <w:tc>
          <w:tcPr>
            <w:tcW w:w="20" w:type="dxa"/>
            <w:vAlign w:val="bottom"/>
          </w:tcPr>
          <w:p w14:paraId="355B6C40" w14:textId="77777777" w:rsidR="00452679" w:rsidRDefault="00452679"/>
        </w:tc>
        <w:tc>
          <w:tcPr>
            <w:tcW w:w="2540" w:type="dxa"/>
            <w:gridSpan w:val="2"/>
            <w:tcBorders>
              <w:right w:val="single" w:sz="8" w:space="0" w:color="auto"/>
            </w:tcBorders>
            <w:vAlign w:val="bottom"/>
          </w:tcPr>
          <w:p w14:paraId="0F549EDB" w14:textId="77777777" w:rsidR="00452679" w:rsidRDefault="0049724C">
            <w:pPr>
              <w:spacing w:line="263" w:lineRule="exact"/>
              <w:ind w:right="60"/>
              <w:jc w:val="center"/>
              <w:rPr>
                <w:sz w:val="20"/>
                <w:szCs w:val="20"/>
              </w:rPr>
            </w:pPr>
            <w:r>
              <w:rPr>
                <w:rFonts w:eastAsia="Times New Roman"/>
                <w:b/>
                <w:bCs/>
                <w:sz w:val="24"/>
                <w:szCs w:val="24"/>
              </w:rPr>
              <w:t>Počet kusů</w:t>
            </w:r>
          </w:p>
        </w:tc>
      </w:tr>
      <w:tr w:rsidR="00452679" w14:paraId="65665A2C" w14:textId="77777777">
        <w:trPr>
          <w:trHeight w:val="72"/>
        </w:trPr>
        <w:tc>
          <w:tcPr>
            <w:tcW w:w="3600" w:type="dxa"/>
            <w:gridSpan w:val="3"/>
            <w:tcBorders>
              <w:left w:val="single" w:sz="8" w:space="0" w:color="auto"/>
              <w:bottom w:val="single" w:sz="8" w:space="0" w:color="auto"/>
            </w:tcBorders>
            <w:vAlign w:val="bottom"/>
          </w:tcPr>
          <w:p w14:paraId="2200D7B5" w14:textId="77777777" w:rsidR="00452679" w:rsidRDefault="00452679">
            <w:pPr>
              <w:rPr>
                <w:sz w:val="6"/>
                <w:szCs w:val="6"/>
              </w:rPr>
            </w:pPr>
          </w:p>
        </w:tc>
        <w:tc>
          <w:tcPr>
            <w:tcW w:w="1980" w:type="dxa"/>
            <w:tcBorders>
              <w:bottom w:val="single" w:sz="8" w:space="0" w:color="auto"/>
            </w:tcBorders>
            <w:vAlign w:val="bottom"/>
          </w:tcPr>
          <w:p w14:paraId="15600E87" w14:textId="77777777" w:rsidR="00452679" w:rsidRDefault="00452679">
            <w:pPr>
              <w:rPr>
                <w:sz w:val="6"/>
                <w:szCs w:val="6"/>
              </w:rPr>
            </w:pPr>
          </w:p>
        </w:tc>
        <w:tc>
          <w:tcPr>
            <w:tcW w:w="900" w:type="dxa"/>
            <w:tcBorders>
              <w:bottom w:val="single" w:sz="8" w:space="0" w:color="auto"/>
              <w:right w:val="single" w:sz="8" w:space="0" w:color="auto"/>
            </w:tcBorders>
            <w:vAlign w:val="bottom"/>
          </w:tcPr>
          <w:p w14:paraId="211A075E" w14:textId="77777777" w:rsidR="00452679" w:rsidRDefault="00452679">
            <w:pPr>
              <w:rPr>
                <w:sz w:val="6"/>
                <w:szCs w:val="6"/>
              </w:rPr>
            </w:pPr>
          </w:p>
        </w:tc>
        <w:tc>
          <w:tcPr>
            <w:tcW w:w="20" w:type="dxa"/>
            <w:tcBorders>
              <w:bottom w:val="single" w:sz="8" w:space="0" w:color="auto"/>
            </w:tcBorders>
            <w:vAlign w:val="bottom"/>
          </w:tcPr>
          <w:p w14:paraId="7E996F12" w14:textId="77777777" w:rsidR="00452679" w:rsidRDefault="00452679">
            <w:pPr>
              <w:rPr>
                <w:sz w:val="6"/>
                <w:szCs w:val="6"/>
              </w:rPr>
            </w:pPr>
          </w:p>
        </w:tc>
        <w:tc>
          <w:tcPr>
            <w:tcW w:w="1340" w:type="dxa"/>
            <w:tcBorders>
              <w:bottom w:val="single" w:sz="8" w:space="0" w:color="auto"/>
            </w:tcBorders>
            <w:vAlign w:val="bottom"/>
          </w:tcPr>
          <w:p w14:paraId="5F470225" w14:textId="77777777" w:rsidR="00452679" w:rsidRDefault="00452679">
            <w:pPr>
              <w:rPr>
                <w:sz w:val="6"/>
                <w:szCs w:val="6"/>
              </w:rPr>
            </w:pPr>
          </w:p>
        </w:tc>
        <w:tc>
          <w:tcPr>
            <w:tcW w:w="1220" w:type="dxa"/>
            <w:tcBorders>
              <w:bottom w:val="single" w:sz="8" w:space="0" w:color="auto"/>
              <w:right w:val="single" w:sz="8" w:space="0" w:color="auto"/>
            </w:tcBorders>
            <w:vAlign w:val="bottom"/>
          </w:tcPr>
          <w:p w14:paraId="422A21FA" w14:textId="77777777" w:rsidR="00452679" w:rsidRDefault="00452679">
            <w:pPr>
              <w:rPr>
                <w:sz w:val="6"/>
                <w:szCs w:val="6"/>
              </w:rPr>
            </w:pPr>
          </w:p>
        </w:tc>
      </w:tr>
      <w:tr w:rsidR="00452679" w14:paraId="1A05816E" w14:textId="77777777">
        <w:trPr>
          <w:trHeight w:val="263"/>
        </w:trPr>
        <w:tc>
          <w:tcPr>
            <w:tcW w:w="3600" w:type="dxa"/>
            <w:gridSpan w:val="3"/>
            <w:tcBorders>
              <w:left w:val="single" w:sz="8" w:space="0" w:color="auto"/>
            </w:tcBorders>
            <w:vAlign w:val="bottom"/>
          </w:tcPr>
          <w:p w14:paraId="229E2879" w14:textId="77777777" w:rsidR="00452679" w:rsidRDefault="0049724C">
            <w:pPr>
              <w:spacing w:line="263" w:lineRule="exact"/>
              <w:ind w:left="120"/>
              <w:rPr>
                <w:sz w:val="20"/>
                <w:szCs w:val="20"/>
              </w:rPr>
            </w:pPr>
            <w:r>
              <w:rPr>
                <w:rFonts w:eastAsia="Times New Roman"/>
                <w:sz w:val="24"/>
                <w:szCs w:val="24"/>
              </w:rPr>
              <w:t>Tatra T815</w:t>
            </w:r>
          </w:p>
        </w:tc>
        <w:tc>
          <w:tcPr>
            <w:tcW w:w="1980" w:type="dxa"/>
            <w:vAlign w:val="bottom"/>
          </w:tcPr>
          <w:p w14:paraId="28835F4F" w14:textId="77777777" w:rsidR="00452679" w:rsidRDefault="00452679"/>
        </w:tc>
        <w:tc>
          <w:tcPr>
            <w:tcW w:w="900" w:type="dxa"/>
            <w:tcBorders>
              <w:right w:val="single" w:sz="8" w:space="0" w:color="auto"/>
            </w:tcBorders>
            <w:vAlign w:val="bottom"/>
          </w:tcPr>
          <w:p w14:paraId="52EC19C3" w14:textId="77777777" w:rsidR="00452679" w:rsidRDefault="00452679"/>
        </w:tc>
        <w:tc>
          <w:tcPr>
            <w:tcW w:w="20" w:type="dxa"/>
            <w:vAlign w:val="bottom"/>
          </w:tcPr>
          <w:p w14:paraId="46A5334B" w14:textId="77777777" w:rsidR="00452679" w:rsidRDefault="00452679"/>
        </w:tc>
        <w:tc>
          <w:tcPr>
            <w:tcW w:w="1340" w:type="dxa"/>
            <w:vAlign w:val="bottom"/>
          </w:tcPr>
          <w:p w14:paraId="4AAD9BD6" w14:textId="77777777" w:rsidR="00452679" w:rsidRDefault="0049724C">
            <w:pPr>
              <w:spacing w:line="263" w:lineRule="exact"/>
              <w:ind w:left="1020"/>
              <w:jc w:val="center"/>
              <w:rPr>
                <w:sz w:val="20"/>
                <w:szCs w:val="20"/>
              </w:rPr>
            </w:pPr>
            <w:r>
              <w:rPr>
                <w:rFonts w:eastAsia="Times New Roman"/>
                <w:w w:val="99"/>
                <w:sz w:val="24"/>
                <w:szCs w:val="24"/>
              </w:rPr>
              <w:t>1</w:t>
            </w:r>
          </w:p>
        </w:tc>
        <w:tc>
          <w:tcPr>
            <w:tcW w:w="1220" w:type="dxa"/>
            <w:tcBorders>
              <w:right w:val="single" w:sz="8" w:space="0" w:color="auto"/>
            </w:tcBorders>
            <w:vAlign w:val="bottom"/>
          </w:tcPr>
          <w:p w14:paraId="0140478C" w14:textId="77777777" w:rsidR="00452679" w:rsidRDefault="00452679"/>
        </w:tc>
      </w:tr>
      <w:tr w:rsidR="00452679" w14:paraId="351328FB" w14:textId="77777777">
        <w:trPr>
          <w:trHeight w:val="72"/>
        </w:trPr>
        <w:tc>
          <w:tcPr>
            <w:tcW w:w="3600" w:type="dxa"/>
            <w:gridSpan w:val="3"/>
            <w:tcBorders>
              <w:left w:val="single" w:sz="8" w:space="0" w:color="auto"/>
              <w:bottom w:val="single" w:sz="8" w:space="0" w:color="auto"/>
            </w:tcBorders>
            <w:vAlign w:val="bottom"/>
          </w:tcPr>
          <w:p w14:paraId="60431BF2" w14:textId="77777777" w:rsidR="00452679" w:rsidRDefault="00452679">
            <w:pPr>
              <w:rPr>
                <w:sz w:val="6"/>
                <w:szCs w:val="6"/>
              </w:rPr>
            </w:pPr>
          </w:p>
        </w:tc>
        <w:tc>
          <w:tcPr>
            <w:tcW w:w="1980" w:type="dxa"/>
            <w:tcBorders>
              <w:bottom w:val="single" w:sz="8" w:space="0" w:color="auto"/>
            </w:tcBorders>
            <w:vAlign w:val="bottom"/>
          </w:tcPr>
          <w:p w14:paraId="09940718" w14:textId="77777777" w:rsidR="00452679" w:rsidRDefault="00452679">
            <w:pPr>
              <w:rPr>
                <w:sz w:val="6"/>
                <w:szCs w:val="6"/>
              </w:rPr>
            </w:pPr>
          </w:p>
        </w:tc>
        <w:tc>
          <w:tcPr>
            <w:tcW w:w="900" w:type="dxa"/>
            <w:tcBorders>
              <w:bottom w:val="single" w:sz="8" w:space="0" w:color="auto"/>
              <w:right w:val="single" w:sz="8" w:space="0" w:color="auto"/>
            </w:tcBorders>
            <w:vAlign w:val="bottom"/>
          </w:tcPr>
          <w:p w14:paraId="0EE0DC5E" w14:textId="77777777" w:rsidR="00452679" w:rsidRDefault="00452679">
            <w:pPr>
              <w:rPr>
                <w:sz w:val="6"/>
                <w:szCs w:val="6"/>
              </w:rPr>
            </w:pPr>
          </w:p>
        </w:tc>
        <w:tc>
          <w:tcPr>
            <w:tcW w:w="20" w:type="dxa"/>
            <w:tcBorders>
              <w:bottom w:val="single" w:sz="8" w:space="0" w:color="auto"/>
            </w:tcBorders>
            <w:vAlign w:val="bottom"/>
          </w:tcPr>
          <w:p w14:paraId="6372C1E9" w14:textId="77777777" w:rsidR="00452679" w:rsidRDefault="00452679">
            <w:pPr>
              <w:rPr>
                <w:sz w:val="6"/>
                <w:szCs w:val="6"/>
              </w:rPr>
            </w:pPr>
          </w:p>
        </w:tc>
        <w:tc>
          <w:tcPr>
            <w:tcW w:w="1340" w:type="dxa"/>
            <w:tcBorders>
              <w:bottom w:val="single" w:sz="8" w:space="0" w:color="auto"/>
            </w:tcBorders>
            <w:vAlign w:val="bottom"/>
          </w:tcPr>
          <w:p w14:paraId="4485F796" w14:textId="77777777" w:rsidR="00452679" w:rsidRDefault="00452679">
            <w:pPr>
              <w:rPr>
                <w:sz w:val="6"/>
                <w:szCs w:val="6"/>
              </w:rPr>
            </w:pPr>
          </w:p>
        </w:tc>
        <w:tc>
          <w:tcPr>
            <w:tcW w:w="1220" w:type="dxa"/>
            <w:tcBorders>
              <w:bottom w:val="single" w:sz="8" w:space="0" w:color="auto"/>
              <w:right w:val="single" w:sz="8" w:space="0" w:color="auto"/>
            </w:tcBorders>
            <w:vAlign w:val="bottom"/>
          </w:tcPr>
          <w:p w14:paraId="62781D91" w14:textId="77777777" w:rsidR="00452679" w:rsidRDefault="00452679">
            <w:pPr>
              <w:rPr>
                <w:sz w:val="6"/>
                <w:szCs w:val="6"/>
              </w:rPr>
            </w:pPr>
          </w:p>
        </w:tc>
      </w:tr>
      <w:tr w:rsidR="00452679" w14:paraId="5CFE8E57" w14:textId="77777777">
        <w:trPr>
          <w:trHeight w:val="263"/>
        </w:trPr>
        <w:tc>
          <w:tcPr>
            <w:tcW w:w="3600" w:type="dxa"/>
            <w:gridSpan w:val="3"/>
            <w:tcBorders>
              <w:left w:val="single" w:sz="8" w:space="0" w:color="auto"/>
            </w:tcBorders>
            <w:vAlign w:val="bottom"/>
          </w:tcPr>
          <w:p w14:paraId="3B17EED7" w14:textId="77777777" w:rsidR="00452679" w:rsidRDefault="0049724C">
            <w:pPr>
              <w:spacing w:line="263" w:lineRule="exact"/>
              <w:ind w:left="120"/>
              <w:rPr>
                <w:sz w:val="20"/>
                <w:szCs w:val="20"/>
              </w:rPr>
            </w:pPr>
            <w:r>
              <w:rPr>
                <w:rFonts w:eastAsia="Times New Roman"/>
                <w:sz w:val="24"/>
                <w:szCs w:val="24"/>
              </w:rPr>
              <w:t xml:space="preserve">Avia </w:t>
            </w:r>
            <w:r>
              <w:rPr>
                <w:rFonts w:eastAsia="Times New Roman"/>
                <w:sz w:val="24"/>
                <w:szCs w:val="24"/>
              </w:rPr>
              <w:t>A30K</w:t>
            </w:r>
          </w:p>
        </w:tc>
        <w:tc>
          <w:tcPr>
            <w:tcW w:w="1980" w:type="dxa"/>
            <w:vAlign w:val="bottom"/>
          </w:tcPr>
          <w:p w14:paraId="203276CA" w14:textId="77777777" w:rsidR="00452679" w:rsidRDefault="00452679"/>
        </w:tc>
        <w:tc>
          <w:tcPr>
            <w:tcW w:w="900" w:type="dxa"/>
            <w:tcBorders>
              <w:right w:val="single" w:sz="8" w:space="0" w:color="auto"/>
            </w:tcBorders>
            <w:vAlign w:val="bottom"/>
          </w:tcPr>
          <w:p w14:paraId="4B03DE34" w14:textId="77777777" w:rsidR="00452679" w:rsidRDefault="00452679"/>
        </w:tc>
        <w:tc>
          <w:tcPr>
            <w:tcW w:w="20" w:type="dxa"/>
            <w:vAlign w:val="bottom"/>
          </w:tcPr>
          <w:p w14:paraId="6E703AEB" w14:textId="77777777" w:rsidR="00452679" w:rsidRDefault="00452679"/>
        </w:tc>
        <w:tc>
          <w:tcPr>
            <w:tcW w:w="1340" w:type="dxa"/>
            <w:vAlign w:val="bottom"/>
          </w:tcPr>
          <w:p w14:paraId="629134E4" w14:textId="77777777" w:rsidR="00452679" w:rsidRDefault="0049724C">
            <w:pPr>
              <w:spacing w:line="263" w:lineRule="exact"/>
              <w:ind w:left="1020"/>
              <w:jc w:val="center"/>
              <w:rPr>
                <w:sz w:val="20"/>
                <w:szCs w:val="20"/>
              </w:rPr>
            </w:pPr>
            <w:r>
              <w:rPr>
                <w:rFonts w:eastAsia="Times New Roman"/>
                <w:w w:val="99"/>
                <w:sz w:val="24"/>
                <w:szCs w:val="24"/>
              </w:rPr>
              <w:t>1</w:t>
            </w:r>
          </w:p>
        </w:tc>
        <w:tc>
          <w:tcPr>
            <w:tcW w:w="1220" w:type="dxa"/>
            <w:tcBorders>
              <w:right w:val="single" w:sz="8" w:space="0" w:color="auto"/>
            </w:tcBorders>
            <w:vAlign w:val="bottom"/>
          </w:tcPr>
          <w:p w14:paraId="77A701D7" w14:textId="77777777" w:rsidR="00452679" w:rsidRDefault="00452679"/>
        </w:tc>
      </w:tr>
      <w:tr w:rsidR="00452679" w14:paraId="0ADD7C5A" w14:textId="77777777">
        <w:trPr>
          <w:trHeight w:val="72"/>
        </w:trPr>
        <w:tc>
          <w:tcPr>
            <w:tcW w:w="3600" w:type="dxa"/>
            <w:gridSpan w:val="3"/>
            <w:tcBorders>
              <w:left w:val="single" w:sz="8" w:space="0" w:color="auto"/>
              <w:bottom w:val="single" w:sz="8" w:space="0" w:color="auto"/>
            </w:tcBorders>
            <w:vAlign w:val="bottom"/>
          </w:tcPr>
          <w:p w14:paraId="2CA7758D" w14:textId="77777777" w:rsidR="00452679" w:rsidRDefault="00452679">
            <w:pPr>
              <w:rPr>
                <w:sz w:val="6"/>
                <w:szCs w:val="6"/>
              </w:rPr>
            </w:pPr>
          </w:p>
        </w:tc>
        <w:tc>
          <w:tcPr>
            <w:tcW w:w="1980" w:type="dxa"/>
            <w:tcBorders>
              <w:bottom w:val="single" w:sz="8" w:space="0" w:color="auto"/>
            </w:tcBorders>
            <w:vAlign w:val="bottom"/>
          </w:tcPr>
          <w:p w14:paraId="2F5562D0" w14:textId="77777777" w:rsidR="00452679" w:rsidRDefault="00452679">
            <w:pPr>
              <w:rPr>
                <w:sz w:val="6"/>
                <w:szCs w:val="6"/>
              </w:rPr>
            </w:pPr>
          </w:p>
        </w:tc>
        <w:tc>
          <w:tcPr>
            <w:tcW w:w="900" w:type="dxa"/>
            <w:tcBorders>
              <w:bottom w:val="single" w:sz="8" w:space="0" w:color="auto"/>
              <w:right w:val="single" w:sz="8" w:space="0" w:color="auto"/>
            </w:tcBorders>
            <w:vAlign w:val="bottom"/>
          </w:tcPr>
          <w:p w14:paraId="79BC8F10" w14:textId="77777777" w:rsidR="00452679" w:rsidRDefault="00452679">
            <w:pPr>
              <w:rPr>
                <w:sz w:val="6"/>
                <w:szCs w:val="6"/>
              </w:rPr>
            </w:pPr>
          </w:p>
        </w:tc>
        <w:tc>
          <w:tcPr>
            <w:tcW w:w="20" w:type="dxa"/>
            <w:tcBorders>
              <w:bottom w:val="single" w:sz="8" w:space="0" w:color="auto"/>
            </w:tcBorders>
            <w:vAlign w:val="bottom"/>
          </w:tcPr>
          <w:p w14:paraId="51C96048" w14:textId="77777777" w:rsidR="00452679" w:rsidRDefault="00452679">
            <w:pPr>
              <w:rPr>
                <w:sz w:val="6"/>
                <w:szCs w:val="6"/>
              </w:rPr>
            </w:pPr>
          </w:p>
        </w:tc>
        <w:tc>
          <w:tcPr>
            <w:tcW w:w="1340" w:type="dxa"/>
            <w:tcBorders>
              <w:bottom w:val="single" w:sz="8" w:space="0" w:color="auto"/>
            </w:tcBorders>
            <w:vAlign w:val="bottom"/>
          </w:tcPr>
          <w:p w14:paraId="357F9395" w14:textId="77777777" w:rsidR="00452679" w:rsidRDefault="00452679">
            <w:pPr>
              <w:rPr>
                <w:sz w:val="6"/>
                <w:szCs w:val="6"/>
              </w:rPr>
            </w:pPr>
          </w:p>
        </w:tc>
        <w:tc>
          <w:tcPr>
            <w:tcW w:w="1220" w:type="dxa"/>
            <w:tcBorders>
              <w:bottom w:val="single" w:sz="8" w:space="0" w:color="auto"/>
              <w:right w:val="single" w:sz="8" w:space="0" w:color="auto"/>
            </w:tcBorders>
            <w:vAlign w:val="bottom"/>
          </w:tcPr>
          <w:p w14:paraId="7A4D8468" w14:textId="77777777" w:rsidR="00452679" w:rsidRDefault="00452679">
            <w:pPr>
              <w:rPr>
                <w:sz w:val="6"/>
                <w:szCs w:val="6"/>
              </w:rPr>
            </w:pPr>
          </w:p>
        </w:tc>
      </w:tr>
      <w:tr w:rsidR="00452679" w14:paraId="13A1133B" w14:textId="77777777">
        <w:trPr>
          <w:trHeight w:val="263"/>
        </w:trPr>
        <w:tc>
          <w:tcPr>
            <w:tcW w:w="3600" w:type="dxa"/>
            <w:gridSpan w:val="3"/>
            <w:tcBorders>
              <w:left w:val="single" w:sz="8" w:space="0" w:color="auto"/>
            </w:tcBorders>
            <w:vAlign w:val="bottom"/>
          </w:tcPr>
          <w:p w14:paraId="6DF831D4" w14:textId="77777777" w:rsidR="00452679" w:rsidRDefault="0049724C">
            <w:pPr>
              <w:spacing w:line="263" w:lineRule="exact"/>
              <w:ind w:left="120"/>
              <w:rPr>
                <w:sz w:val="20"/>
                <w:szCs w:val="20"/>
              </w:rPr>
            </w:pPr>
            <w:r>
              <w:rPr>
                <w:rFonts w:eastAsia="Times New Roman"/>
                <w:sz w:val="24"/>
                <w:szCs w:val="24"/>
              </w:rPr>
              <w:t>YVECO</w:t>
            </w:r>
          </w:p>
        </w:tc>
        <w:tc>
          <w:tcPr>
            <w:tcW w:w="1980" w:type="dxa"/>
            <w:vAlign w:val="bottom"/>
          </w:tcPr>
          <w:p w14:paraId="659C8780" w14:textId="77777777" w:rsidR="00452679" w:rsidRDefault="00452679"/>
        </w:tc>
        <w:tc>
          <w:tcPr>
            <w:tcW w:w="900" w:type="dxa"/>
            <w:tcBorders>
              <w:right w:val="single" w:sz="8" w:space="0" w:color="auto"/>
            </w:tcBorders>
            <w:vAlign w:val="bottom"/>
          </w:tcPr>
          <w:p w14:paraId="41073282" w14:textId="77777777" w:rsidR="00452679" w:rsidRDefault="00452679"/>
        </w:tc>
        <w:tc>
          <w:tcPr>
            <w:tcW w:w="20" w:type="dxa"/>
            <w:vAlign w:val="bottom"/>
          </w:tcPr>
          <w:p w14:paraId="4C298C7A" w14:textId="77777777" w:rsidR="00452679" w:rsidRDefault="00452679"/>
        </w:tc>
        <w:tc>
          <w:tcPr>
            <w:tcW w:w="1340" w:type="dxa"/>
            <w:vAlign w:val="bottom"/>
          </w:tcPr>
          <w:p w14:paraId="70FF09B2" w14:textId="77777777" w:rsidR="00452679" w:rsidRDefault="0049724C">
            <w:pPr>
              <w:spacing w:line="263" w:lineRule="exact"/>
              <w:ind w:left="1020"/>
              <w:jc w:val="center"/>
              <w:rPr>
                <w:sz w:val="20"/>
                <w:szCs w:val="20"/>
              </w:rPr>
            </w:pPr>
            <w:r>
              <w:rPr>
                <w:rFonts w:eastAsia="Times New Roman"/>
                <w:w w:val="99"/>
                <w:sz w:val="24"/>
                <w:szCs w:val="24"/>
              </w:rPr>
              <w:t>1</w:t>
            </w:r>
          </w:p>
        </w:tc>
        <w:tc>
          <w:tcPr>
            <w:tcW w:w="1220" w:type="dxa"/>
            <w:tcBorders>
              <w:right w:val="single" w:sz="8" w:space="0" w:color="auto"/>
            </w:tcBorders>
            <w:vAlign w:val="bottom"/>
          </w:tcPr>
          <w:p w14:paraId="0323E8A7" w14:textId="77777777" w:rsidR="00452679" w:rsidRDefault="00452679"/>
        </w:tc>
      </w:tr>
      <w:tr w:rsidR="00452679" w14:paraId="12E6771A" w14:textId="77777777">
        <w:trPr>
          <w:trHeight w:val="72"/>
        </w:trPr>
        <w:tc>
          <w:tcPr>
            <w:tcW w:w="5580" w:type="dxa"/>
            <w:gridSpan w:val="4"/>
            <w:tcBorders>
              <w:left w:val="single" w:sz="8" w:space="0" w:color="auto"/>
              <w:bottom w:val="single" w:sz="8" w:space="0" w:color="auto"/>
            </w:tcBorders>
            <w:vAlign w:val="bottom"/>
          </w:tcPr>
          <w:p w14:paraId="256B79A2" w14:textId="77777777" w:rsidR="00452679" w:rsidRDefault="00452679">
            <w:pPr>
              <w:rPr>
                <w:sz w:val="6"/>
                <w:szCs w:val="6"/>
              </w:rPr>
            </w:pPr>
          </w:p>
        </w:tc>
        <w:tc>
          <w:tcPr>
            <w:tcW w:w="900" w:type="dxa"/>
            <w:tcBorders>
              <w:bottom w:val="single" w:sz="8" w:space="0" w:color="auto"/>
              <w:right w:val="single" w:sz="8" w:space="0" w:color="auto"/>
            </w:tcBorders>
            <w:vAlign w:val="bottom"/>
          </w:tcPr>
          <w:p w14:paraId="2725F300" w14:textId="77777777" w:rsidR="00452679" w:rsidRDefault="00452679">
            <w:pPr>
              <w:rPr>
                <w:sz w:val="6"/>
                <w:szCs w:val="6"/>
              </w:rPr>
            </w:pPr>
          </w:p>
        </w:tc>
        <w:tc>
          <w:tcPr>
            <w:tcW w:w="20" w:type="dxa"/>
            <w:tcBorders>
              <w:bottom w:val="single" w:sz="8" w:space="0" w:color="auto"/>
            </w:tcBorders>
            <w:vAlign w:val="bottom"/>
          </w:tcPr>
          <w:p w14:paraId="75E814D9" w14:textId="77777777" w:rsidR="00452679" w:rsidRDefault="00452679">
            <w:pPr>
              <w:rPr>
                <w:sz w:val="6"/>
                <w:szCs w:val="6"/>
              </w:rPr>
            </w:pPr>
          </w:p>
        </w:tc>
        <w:tc>
          <w:tcPr>
            <w:tcW w:w="1340" w:type="dxa"/>
            <w:tcBorders>
              <w:bottom w:val="single" w:sz="8" w:space="0" w:color="auto"/>
            </w:tcBorders>
            <w:vAlign w:val="bottom"/>
          </w:tcPr>
          <w:p w14:paraId="6374BE78" w14:textId="77777777" w:rsidR="00452679" w:rsidRDefault="00452679">
            <w:pPr>
              <w:rPr>
                <w:sz w:val="6"/>
                <w:szCs w:val="6"/>
              </w:rPr>
            </w:pPr>
          </w:p>
        </w:tc>
        <w:tc>
          <w:tcPr>
            <w:tcW w:w="1220" w:type="dxa"/>
            <w:tcBorders>
              <w:bottom w:val="single" w:sz="8" w:space="0" w:color="auto"/>
              <w:right w:val="single" w:sz="8" w:space="0" w:color="auto"/>
            </w:tcBorders>
            <w:vAlign w:val="bottom"/>
          </w:tcPr>
          <w:p w14:paraId="10BBE254" w14:textId="77777777" w:rsidR="00452679" w:rsidRDefault="00452679">
            <w:pPr>
              <w:rPr>
                <w:sz w:val="6"/>
                <w:szCs w:val="6"/>
              </w:rPr>
            </w:pPr>
          </w:p>
        </w:tc>
      </w:tr>
      <w:tr w:rsidR="00452679" w14:paraId="2A329370" w14:textId="77777777">
        <w:trPr>
          <w:trHeight w:val="263"/>
        </w:trPr>
        <w:tc>
          <w:tcPr>
            <w:tcW w:w="5580" w:type="dxa"/>
            <w:gridSpan w:val="4"/>
            <w:tcBorders>
              <w:left w:val="single" w:sz="8" w:space="0" w:color="auto"/>
            </w:tcBorders>
            <w:vAlign w:val="bottom"/>
          </w:tcPr>
          <w:p w14:paraId="2E73D7F8" w14:textId="77777777" w:rsidR="00452679" w:rsidRDefault="0049724C">
            <w:pPr>
              <w:spacing w:line="263" w:lineRule="exact"/>
              <w:ind w:left="120"/>
              <w:rPr>
                <w:sz w:val="20"/>
                <w:szCs w:val="20"/>
              </w:rPr>
            </w:pPr>
            <w:r>
              <w:rPr>
                <w:rFonts w:eastAsia="Times New Roman"/>
                <w:sz w:val="24"/>
                <w:szCs w:val="24"/>
              </w:rPr>
              <w:t>Motorová stříkačka TOHATSU VC85BS</w:t>
            </w:r>
          </w:p>
        </w:tc>
        <w:tc>
          <w:tcPr>
            <w:tcW w:w="900" w:type="dxa"/>
            <w:tcBorders>
              <w:right w:val="single" w:sz="8" w:space="0" w:color="auto"/>
            </w:tcBorders>
            <w:vAlign w:val="bottom"/>
          </w:tcPr>
          <w:p w14:paraId="2D310F6D" w14:textId="77777777" w:rsidR="00452679" w:rsidRDefault="00452679"/>
        </w:tc>
        <w:tc>
          <w:tcPr>
            <w:tcW w:w="20" w:type="dxa"/>
            <w:vAlign w:val="bottom"/>
          </w:tcPr>
          <w:p w14:paraId="4E298344" w14:textId="77777777" w:rsidR="00452679" w:rsidRDefault="00452679"/>
        </w:tc>
        <w:tc>
          <w:tcPr>
            <w:tcW w:w="1340" w:type="dxa"/>
            <w:vAlign w:val="bottom"/>
          </w:tcPr>
          <w:p w14:paraId="299DAA29" w14:textId="77777777" w:rsidR="00452679" w:rsidRDefault="0049724C">
            <w:pPr>
              <w:spacing w:line="263" w:lineRule="exact"/>
              <w:ind w:left="1020"/>
              <w:jc w:val="center"/>
              <w:rPr>
                <w:sz w:val="20"/>
                <w:szCs w:val="20"/>
              </w:rPr>
            </w:pPr>
            <w:r>
              <w:rPr>
                <w:rFonts w:eastAsia="Times New Roman"/>
                <w:w w:val="99"/>
                <w:sz w:val="24"/>
                <w:szCs w:val="24"/>
              </w:rPr>
              <w:t>1</w:t>
            </w:r>
          </w:p>
        </w:tc>
        <w:tc>
          <w:tcPr>
            <w:tcW w:w="1220" w:type="dxa"/>
            <w:tcBorders>
              <w:right w:val="single" w:sz="8" w:space="0" w:color="auto"/>
            </w:tcBorders>
            <w:vAlign w:val="bottom"/>
          </w:tcPr>
          <w:p w14:paraId="2095B44C" w14:textId="77777777" w:rsidR="00452679" w:rsidRDefault="00452679"/>
        </w:tc>
      </w:tr>
      <w:tr w:rsidR="00452679" w14:paraId="06E5D825" w14:textId="77777777">
        <w:trPr>
          <w:trHeight w:val="72"/>
        </w:trPr>
        <w:tc>
          <w:tcPr>
            <w:tcW w:w="1220" w:type="dxa"/>
            <w:tcBorders>
              <w:left w:val="single" w:sz="8" w:space="0" w:color="auto"/>
              <w:bottom w:val="single" w:sz="8" w:space="0" w:color="auto"/>
            </w:tcBorders>
            <w:vAlign w:val="bottom"/>
          </w:tcPr>
          <w:p w14:paraId="714F02A1" w14:textId="77777777" w:rsidR="00452679" w:rsidRDefault="00452679">
            <w:pPr>
              <w:rPr>
                <w:sz w:val="6"/>
                <w:szCs w:val="6"/>
              </w:rPr>
            </w:pPr>
          </w:p>
        </w:tc>
        <w:tc>
          <w:tcPr>
            <w:tcW w:w="1600" w:type="dxa"/>
            <w:tcBorders>
              <w:bottom w:val="single" w:sz="8" w:space="0" w:color="auto"/>
            </w:tcBorders>
            <w:vAlign w:val="bottom"/>
          </w:tcPr>
          <w:p w14:paraId="7F24DD9C" w14:textId="77777777" w:rsidR="00452679" w:rsidRDefault="00452679">
            <w:pPr>
              <w:rPr>
                <w:sz w:val="6"/>
                <w:szCs w:val="6"/>
              </w:rPr>
            </w:pPr>
          </w:p>
        </w:tc>
        <w:tc>
          <w:tcPr>
            <w:tcW w:w="780" w:type="dxa"/>
            <w:tcBorders>
              <w:bottom w:val="single" w:sz="8" w:space="0" w:color="auto"/>
            </w:tcBorders>
            <w:vAlign w:val="bottom"/>
          </w:tcPr>
          <w:p w14:paraId="4456A514" w14:textId="77777777" w:rsidR="00452679" w:rsidRDefault="00452679">
            <w:pPr>
              <w:rPr>
                <w:sz w:val="6"/>
                <w:szCs w:val="6"/>
              </w:rPr>
            </w:pPr>
          </w:p>
        </w:tc>
        <w:tc>
          <w:tcPr>
            <w:tcW w:w="1980" w:type="dxa"/>
            <w:tcBorders>
              <w:bottom w:val="single" w:sz="8" w:space="0" w:color="auto"/>
            </w:tcBorders>
            <w:vAlign w:val="bottom"/>
          </w:tcPr>
          <w:p w14:paraId="4B07D066" w14:textId="77777777" w:rsidR="00452679" w:rsidRDefault="00452679">
            <w:pPr>
              <w:rPr>
                <w:sz w:val="6"/>
                <w:szCs w:val="6"/>
              </w:rPr>
            </w:pPr>
          </w:p>
        </w:tc>
        <w:tc>
          <w:tcPr>
            <w:tcW w:w="900" w:type="dxa"/>
            <w:tcBorders>
              <w:bottom w:val="single" w:sz="8" w:space="0" w:color="auto"/>
              <w:right w:val="single" w:sz="8" w:space="0" w:color="auto"/>
            </w:tcBorders>
            <w:vAlign w:val="bottom"/>
          </w:tcPr>
          <w:p w14:paraId="05D2B49F" w14:textId="77777777" w:rsidR="00452679" w:rsidRDefault="00452679">
            <w:pPr>
              <w:rPr>
                <w:sz w:val="6"/>
                <w:szCs w:val="6"/>
              </w:rPr>
            </w:pPr>
          </w:p>
        </w:tc>
        <w:tc>
          <w:tcPr>
            <w:tcW w:w="20" w:type="dxa"/>
            <w:tcBorders>
              <w:bottom w:val="single" w:sz="8" w:space="0" w:color="auto"/>
            </w:tcBorders>
            <w:vAlign w:val="bottom"/>
          </w:tcPr>
          <w:p w14:paraId="7F67E9E3" w14:textId="77777777" w:rsidR="00452679" w:rsidRDefault="00452679">
            <w:pPr>
              <w:rPr>
                <w:sz w:val="6"/>
                <w:szCs w:val="6"/>
              </w:rPr>
            </w:pPr>
          </w:p>
        </w:tc>
        <w:tc>
          <w:tcPr>
            <w:tcW w:w="1340" w:type="dxa"/>
            <w:tcBorders>
              <w:bottom w:val="single" w:sz="8" w:space="0" w:color="auto"/>
            </w:tcBorders>
            <w:vAlign w:val="bottom"/>
          </w:tcPr>
          <w:p w14:paraId="50849729" w14:textId="77777777" w:rsidR="00452679" w:rsidRDefault="00452679">
            <w:pPr>
              <w:rPr>
                <w:sz w:val="6"/>
                <w:szCs w:val="6"/>
              </w:rPr>
            </w:pPr>
          </w:p>
        </w:tc>
        <w:tc>
          <w:tcPr>
            <w:tcW w:w="1220" w:type="dxa"/>
            <w:tcBorders>
              <w:bottom w:val="single" w:sz="8" w:space="0" w:color="auto"/>
              <w:right w:val="single" w:sz="8" w:space="0" w:color="auto"/>
            </w:tcBorders>
            <w:vAlign w:val="bottom"/>
          </w:tcPr>
          <w:p w14:paraId="09A7D6BD" w14:textId="77777777" w:rsidR="00452679" w:rsidRDefault="00452679">
            <w:pPr>
              <w:rPr>
                <w:sz w:val="6"/>
                <w:szCs w:val="6"/>
              </w:rPr>
            </w:pPr>
          </w:p>
        </w:tc>
      </w:tr>
    </w:tbl>
    <w:p w14:paraId="3AA1C1DB" w14:textId="77777777" w:rsidR="00452679" w:rsidRDefault="00452679">
      <w:pPr>
        <w:sectPr w:rsidR="00452679">
          <w:pgSz w:w="11900" w:h="16838"/>
          <w:pgMar w:top="1415" w:right="1440" w:bottom="1440" w:left="1420" w:header="0" w:footer="0" w:gutter="0"/>
          <w:cols w:space="708" w:equalWidth="0">
            <w:col w:w="9046"/>
          </w:cols>
        </w:sectPr>
      </w:pPr>
    </w:p>
    <w:p w14:paraId="6A96D429" w14:textId="77777777" w:rsidR="00452679" w:rsidRDefault="0049724C">
      <w:pPr>
        <w:rPr>
          <w:sz w:val="20"/>
          <w:szCs w:val="20"/>
        </w:rPr>
      </w:pPr>
      <w:bookmarkStart w:id="5" w:name="page6"/>
      <w:bookmarkEnd w:id="5"/>
      <w:r>
        <w:rPr>
          <w:rFonts w:eastAsia="Times New Roman"/>
          <w:b/>
          <w:bCs/>
          <w:sz w:val="24"/>
          <w:szCs w:val="24"/>
        </w:rPr>
        <w:t>Příloha č. 3 obecně závazné vyhlášky č. 1/2017, požární řád</w:t>
      </w:r>
    </w:p>
    <w:p w14:paraId="37560E6C" w14:textId="77777777" w:rsidR="00452679" w:rsidRDefault="00452679">
      <w:pPr>
        <w:spacing w:line="372" w:lineRule="exact"/>
        <w:rPr>
          <w:sz w:val="20"/>
          <w:szCs w:val="20"/>
        </w:rPr>
      </w:pPr>
    </w:p>
    <w:p w14:paraId="7B7423CA" w14:textId="77777777" w:rsidR="00452679" w:rsidRDefault="0049724C">
      <w:pPr>
        <w:rPr>
          <w:sz w:val="20"/>
          <w:szCs w:val="20"/>
        </w:rPr>
      </w:pPr>
      <w:r>
        <w:rPr>
          <w:rFonts w:eastAsia="Times New Roman"/>
          <w:b/>
          <w:bCs/>
          <w:sz w:val="24"/>
          <w:szCs w:val="24"/>
          <w:u w:val="single"/>
        </w:rPr>
        <w:t>Plánek obce s vyznačením zdroje</w:t>
      </w:r>
      <w:r>
        <w:rPr>
          <w:rFonts w:eastAsia="Times New Roman"/>
          <w:b/>
          <w:bCs/>
          <w:sz w:val="24"/>
          <w:szCs w:val="24"/>
          <w:u w:val="single"/>
        </w:rPr>
        <w:t xml:space="preserve"> vody pro hašení požárů dle čl. 6 odst. 1 vyhlášky</w:t>
      </w:r>
    </w:p>
    <w:p w14:paraId="318E056E" w14:textId="77777777" w:rsidR="00452679" w:rsidRDefault="0049724C">
      <w:pPr>
        <w:spacing w:line="20" w:lineRule="exact"/>
        <w:rPr>
          <w:sz w:val="20"/>
          <w:szCs w:val="20"/>
        </w:rPr>
      </w:pPr>
      <w:r>
        <w:rPr>
          <w:noProof/>
          <w:sz w:val="20"/>
          <w:szCs w:val="20"/>
        </w:rPr>
        <w:drawing>
          <wp:anchor distT="0" distB="0" distL="114300" distR="114300" simplePos="0" relativeHeight="251659776" behindDoc="1" locked="0" layoutInCell="0" allowOverlap="1" wp14:anchorId="7F0ADFD0" wp14:editId="5F39198F">
            <wp:simplePos x="0" y="0"/>
            <wp:positionH relativeFrom="column">
              <wp:posOffset>-635</wp:posOffset>
            </wp:positionH>
            <wp:positionV relativeFrom="paragraph">
              <wp:posOffset>414655</wp:posOffset>
            </wp:positionV>
            <wp:extent cx="5759450" cy="46113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759450" cy="4611370"/>
                    </a:xfrm>
                    <a:prstGeom prst="rect">
                      <a:avLst/>
                    </a:prstGeom>
                    <a:noFill/>
                  </pic:spPr>
                </pic:pic>
              </a:graphicData>
            </a:graphic>
          </wp:anchor>
        </w:drawing>
      </w:r>
    </w:p>
    <w:sectPr w:rsidR="00452679">
      <w:pgSz w:w="11900" w:h="16838"/>
      <w:pgMar w:top="1415" w:right="1440" w:bottom="1440" w:left="1420" w:header="0" w:footer="0" w:gutter="0"/>
      <w:cols w:space="708" w:equalWidth="0">
        <w:col w:w="90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DF569474"/>
    <w:lvl w:ilvl="0" w:tplc="8A78BCE2">
      <w:start w:val="7"/>
      <w:numFmt w:val="decimal"/>
      <w:lvlText w:val="%1)"/>
      <w:lvlJc w:val="left"/>
    </w:lvl>
    <w:lvl w:ilvl="1" w:tplc="C292DBDC">
      <w:start w:val="20"/>
      <w:numFmt w:val="decimal"/>
      <w:lvlText w:val="%2."/>
      <w:lvlJc w:val="left"/>
    </w:lvl>
    <w:lvl w:ilvl="2" w:tplc="2A569D48">
      <w:numFmt w:val="decimal"/>
      <w:lvlText w:val=""/>
      <w:lvlJc w:val="left"/>
    </w:lvl>
    <w:lvl w:ilvl="3" w:tplc="69682E36">
      <w:numFmt w:val="decimal"/>
      <w:lvlText w:val=""/>
      <w:lvlJc w:val="left"/>
    </w:lvl>
    <w:lvl w:ilvl="4" w:tplc="3FDAF9C0">
      <w:numFmt w:val="decimal"/>
      <w:lvlText w:val=""/>
      <w:lvlJc w:val="left"/>
    </w:lvl>
    <w:lvl w:ilvl="5" w:tplc="E7B6AE7C">
      <w:numFmt w:val="decimal"/>
      <w:lvlText w:val=""/>
      <w:lvlJc w:val="left"/>
    </w:lvl>
    <w:lvl w:ilvl="6" w:tplc="7B447C5A">
      <w:numFmt w:val="decimal"/>
      <w:lvlText w:val=""/>
      <w:lvlJc w:val="left"/>
    </w:lvl>
    <w:lvl w:ilvl="7" w:tplc="FA1C8624">
      <w:numFmt w:val="decimal"/>
      <w:lvlText w:val=""/>
      <w:lvlJc w:val="left"/>
    </w:lvl>
    <w:lvl w:ilvl="8" w:tplc="B48E292C">
      <w:numFmt w:val="decimal"/>
      <w:lvlText w:val=""/>
      <w:lvlJc w:val="left"/>
    </w:lvl>
  </w:abstractNum>
  <w:abstractNum w:abstractNumId="1" w15:restartNumberingAfterBreak="0">
    <w:nsid w:val="12200854"/>
    <w:multiLevelType w:val="hybridMultilevel"/>
    <w:tmpl w:val="6E9A77E0"/>
    <w:lvl w:ilvl="0" w:tplc="64D253F0">
      <w:start w:val="3"/>
      <w:numFmt w:val="decimal"/>
      <w:lvlText w:val="%1)"/>
      <w:lvlJc w:val="left"/>
    </w:lvl>
    <w:lvl w:ilvl="1" w:tplc="89F032E0">
      <w:start w:val="5"/>
      <w:numFmt w:val="lowerLetter"/>
      <w:lvlText w:val="%2)"/>
      <w:lvlJc w:val="left"/>
    </w:lvl>
    <w:lvl w:ilvl="2" w:tplc="04AA4A70">
      <w:numFmt w:val="decimal"/>
      <w:lvlText w:val=""/>
      <w:lvlJc w:val="left"/>
    </w:lvl>
    <w:lvl w:ilvl="3" w:tplc="29B45836">
      <w:numFmt w:val="decimal"/>
      <w:lvlText w:val=""/>
      <w:lvlJc w:val="left"/>
    </w:lvl>
    <w:lvl w:ilvl="4" w:tplc="6964AE56">
      <w:numFmt w:val="decimal"/>
      <w:lvlText w:val=""/>
      <w:lvlJc w:val="left"/>
    </w:lvl>
    <w:lvl w:ilvl="5" w:tplc="CD0486FC">
      <w:numFmt w:val="decimal"/>
      <w:lvlText w:val=""/>
      <w:lvlJc w:val="left"/>
    </w:lvl>
    <w:lvl w:ilvl="6" w:tplc="18A25312">
      <w:numFmt w:val="decimal"/>
      <w:lvlText w:val=""/>
      <w:lvlJc w:val="left"/>
    </w:lvl>
    <w:lvl w:ilvl="7" w:tplc="59C08924">
      <w:numFmt w:val="decimal"/>
      <w:lvlText w:val=""/>
      <w:lvlJc w:val="left"/>
    </w:lvl>
    <w:lvl w:ilvl="8" w:tplc="94586E96">
      <w:numFmt w:val="decimal"/>
      <w:lvlText w:val=""/>
      <w:lvlJc w:val="left"/>
    </w:lvl>
  </w:abstractNum>
  <w:abstractNum w:abstractNumId="2" w15:restartNumberingAfterBreak="0">
    <w:nsid w:val="1F16E9E8"/>
    <w:multiLevelType w:val="hybridMultilevel"/>
    <w:tmpl w:val="8102AB0E"/>
    <w:lvl w:ilvl="0" w:tplc="C8D64370">
      <w:start w:val="1"/>
      <w:numFmt w:val="upperLetter"/>
      <w:lvlText w:val="%1)"/>
      <w:lvlJc w:val="left"/>
    </w:lvl>
    <w:lvl w:ilvl="1" w:tplc="B658DD82">
      <w:numFmt w:val="decimal"/>
      <w:lvlText w:val=""/>
      <w:lvlJc w:val="left"/>
    </w:lvl>
    <w:lvl w:ilvl="2" w:tplc="48F0B71A">
      <w:numFmt w:val="decimal"/>
      <w:lvlText w:val=""/>
      <w:lvlJc w:val="left"/>
    </w:lvl>
    <w:lvl w:ilvl="3" w:tplc="F2704F26">
      <w:numFmt w:val="decimal"/>
      <w:lvlText w:val=""/>
      <w:lvlJc w:val="left"/>
    </w:lvl>
    <w:lvl w:ilvl="4" w:tplc="E9C86188">
      <w:numFmt w:val="decimal"/>
      <w:lvlText w:val=""/>
      <w:lvlJc w:val="left"/>
    </w:lvl>
    <w:lvl w:ilvl="5" w:tplc="364EC996">
      <w:numFmt w:val="decimal"/>
      <w:lvlText w:val=""/>
      <w:lvlJc w:val="left"/>
    </w:lvl>
    <w:lvl w:ilvl="6" w:tplc="05FCFC1C">
      <w:numFmt w:val="decimal"/>
      <w:lvlText w:val=""/>
      <w:lvlJc w:val="left"/>
    </w:lvl>
    <w:lvl w:ilvl="7" w:tplc="7B2A644C">
      <w:numFmt w:val="decimal"/>
      <w:lvlText w:val=""/>
      <w:lvlJc w:val="left"/>
    </w:lvl>
    <w:lvl w:ilvl="8" w:tplc="3A5C6F3E">
      <w:numFmt w:val="decimal"/>
      <w:lvlText w:val=""/>
      <w:lvlJc w:val="left"/>
    </w:lvl>
  </w:abstractNum>
  <w:abstractNum w:abstractNumId="3" w15:restartNumberingAfterBreak="0">
    <w:nsid w:val="2EB141F2"/>
    <w:multiLevelType w:val="hybridMultilevel"/>
    <w:tmpl w:val="03789148"/>
    <w:lvl w:ilvl="0" w:tplc="07D83108">
      <w:start w:val="1"/>
      <w:numFmt w:val="decimal"/>
      <w:lvlText w:val="%1)"/>
      <w:lvlJc w:val="left"/>
    </w:lvl>
    <w:lvl w:ilvl="1" w:tplc="54407E12">
      <w:numFmt w:val="decimal"/>
      <w:lvlText w:val=""/>
      <w:lvlJc w:val="left"/>
    </w:lvl>
    <w:lvl w:ilvl="2" w:tplc="072A5AEE">
      <w:numFmt w:val="decimal"/>
      <w:lvlText w:val=""/>
      <w:lvlJc w:val="left"/>
    </w:lvl>
    <w:lvl w:ilvl="3" w:tplc="EFF2E0DA">
      <w:numFmt w:val="decimal"/>
      <w:lvlText w:val=""/>
      <w:lvlJc w:val="left"/>
    </w:lvl>
    <w:lvl w:ilvl="4" w:tplc="CE76022C">
      <w:numFmt w:val="decimal"/>
      <w:lvlText w:val=""/>
      <w:lvlJc w:val="left"/>
    </w:lvl>
    <w:lvl w:ilvl="5" w:tplc="D4F2FD8C">
      <w:numFmt w:val="decimal"/>
      <w:lvlText w:val=""/>
      <w:lvlJc w:val="left"/>
    </w:lvl>
    <w:lvl w:ilvl="6" w:tplc="8F1A64D8">
      <w:numFmt w:val="decimal"/>
      <w:lvlText w:val=""/>
      <w:lvlJc w:val="left"/>
    </w:lvl>
    <w:lvl w:ilvl="7" w:tplc="29A0662A">
      <w:numFmt w:val="decimal"/>
      <w:lvlText w:val=""/>
      <w:lvlJc w:val="left"/>
    </w:lvl>
    <w:lvl w:ilvl="8" w:tplc="F36616C6">
      <w:numFmt w:val="decimal"/>
      <w:lvlText w:val=""/>
      <w:lvlJc w:val="left"/>
    </w:lvl>
  </w:abstractNum>
  <w:abstractNum w:abstractNumId="4" w15:restartNumberingAfterBreak="0">
    <w:nsid w:val="41B71EFB"/>
    <w:multiLevelType w:val="hybridMultilevel"/>
    <w:tmpl w:val="1598E408"/>
    <w:lvl w:ilvl="0" w:tplc="A8181218">
      <w:start w:val="1"/>
      <w:numFmt w:val="decimal"/>
      <w:lvlText w:val="%1"/>
      <w:lvlJc w:val="left"/>
    </w:lvl>
    <w:lvl w:ilvl="1" w:tplc="971A5CFC">
      <w:start w:val="1"/>
      <w:numFmt w:val="lowerLetter"/>
      <w:lvlText w:val="%2)"/>
      <w:lvlJc w:val="left"/>
    </w:lvl>
    <w:lvl w:ilvl="2" w:tplc="8FBE0EB4">
      <w:numFmt w:val="decimal"/>
      <w:lvlText w:val=""/>
      <w:lvlJc w:val="left"/>
    </w:lvl>
    <w:lvl w:ilvl="3" w:tplc="4FA8761E">
      <w:numFmt w:val="decimal"/>
      <w:lvlText w:val=""/>
      <w:lvlJc w:val="left"/>
    </w:lvl>
    <w:lvl w:ilvl="4" w:tplc="F7644F52">
      <w:numFmt w:val="decimal"/>
      <w:lvlText w:val=""/>
      <w:lvlJc w:val="left"/>
    </w:lvl>
    <w:lvl w:ilvl="5" w:tplc="58EE3B3A">
      <w:numFmt w:val="decimal"/>
      <w:lvlText w:val=""/>
      <w:lvlJc w:val="left"/>
    </w:lvl>
    <w:lvl w:ilvl="6" w:tplc="6B0C284C">
      <w:numFmt w:val="decimal"/>
      <w:lvlText w:val=""/>
      <w:lvlJc w:val="left"/>
    </w:lvl>
    <w:lvl w:ilvl="7" w:tplc="54549D4C">
      <w:numFmt w:val="decimal"/>
      <w:lvlText w:val=""/>
      <w:lvlJc w:val="left"/>
    </w:lvl>
    <w:lvl w:ilvl="8" w:tplc="0F3492EC">
      <w:numFmt w:val="decimal"/>
      <w:lvlText w:val=""/>
      <w:lvlJc w:val="left"/>
    </w:lvl>
  </w:abstractNum>
  <w:abstractNum w:abstractNumId="5" w15:restartNumberingAfterBreak="0">
    <w:nsid w:val="4DB127F8"/>
    <w:multiLevelType w:val="hybridMultilevel"/>
    <w:tmpl w:val="35A8CA0A"/>
    <w:lvl w:ilvl="0" w:tplc="9120F024">
      <w:start w:val="1"/>
      <w:numFmt w:val="decimal"/>
      <w:lvlText w:val="%1)"/>
      <w:lvlJc w:val="left"/>
    </w:lvl>
    <w:lvl w:ilvl="1" w:tplc="5182715A">
      <w:numFmt w:val="decimal"/>
      <w:lvlText w:val=""/>
      <w:lvlJc w:val="left"/>
    </w:lvl>
    <w:lvl w:ilvl="2" w:tplc="0184A666">
      <w:numFmt w:val="decimal"/>
      <w:lvlText w:val=""/>
      <w:lvlJc w:val="left"/>
    </w:lvl>
    <w:lvl w:ilvl="3" w:tplc="3DF408CC">
      <w:numFmt w:val="decimal"/>
      <w:lvlText w:val=""/>
      <w:lvlJc w:val="left"/>
    </w:lvl>
    <w:lvl w:ilvl="4" w:tplc="DA4A0718">
      <w:numFmt w:val="decimal"/>
      <w:lvlText w:val=""/>
      <w:lvlJc w:val="left"/>
    </w:lvl>
    <w:lvl w:ilvl="5" w:tplc="9A46F218">
      <w:numFmt w:val="decimal"/>
      <w:lvlText w:val=""/>
      <w:lvlJc w:val="left"/>
    </w:lvl>
    <w:lvl w:ilvl="6" w:tplc="2674B44C">
      <w:numFmt w:val="decimal"/>
      <w:lvlText w:val=""/>
      <w:lvlJc w:val="left"/>
    </w:lvl>
    <w:lvl w:ilvl="7" w:tplc="3490BE80">
      <w:numFmt w:val="decimal"/>
      <w:lvlText w:val=""/>
      <w:lvlJc w:val="left"/>
    </w:lvl>
    <w:lvl w:ilvl="8" w:tplc="B0A07D4C">
      <w:numFmt w:val="decimal"/>
      <w:lvlText w:val=""/>
      <w:lvlJc w:val="left"/>
    </w:lvl>
  </w:abstractNum>
  <w:abstractNum w:abstractNumId="6" w15:restartNumberingAfterBreak="0">
    <w:nsid w:val="507ED7AB"/>
    <w:multiLevelType w:val="hybridMultilevel"/>
    <w:tmpl w:val="A1329E1C"/>
    <w:lvl w:ilvl="0" w:tplc="195C2652">
      <w:start w:val="1"/>
      <w:numFmt w:val="bullet"/>
      <w:lvlText w:val="§"/>
      <w:lvlJc w:val="left"/>
    </w:lvl>
    <w:lvl w:ilvl="1" w:tplc="8166BCF2">
      <w:numFmt w:val="decimal"/>
      <w:lvlText w:val=""/>
      <w:lvlJc w:val="left"/>
    </w:lvl>
    <w:lvl w:ilvl="2" w:tplc="484E4436">
      <w:numFmt w:val="decimal"/>
      <w:lvlText w:val=""/>
      <w:lvlJc w:val="left"/>
    </w:lvl>
    <w:lvl w:ilvl="3" w:tplc="267CDD08">
      <w:numFmt w:val="decimal"/>
      <w:lvlText w:val=""/>
      <w:lvlJc w:val="left"/>
    </w:lvl>
    <w:lvl w:ilvl="4" w:tplc="3C3A0FA2">
      <w:numFmt w:val="decimal"/>
      <w:lvlText w:val=""/>
      <w:lvlJc w:val="left"/>
    </w:lvl>
    <w:lvl w:ilvl="5" w:tplc="01242408">
      <w:numFmt w:val="decimal"/>
      <w:lvlText w:val=""/>
      <w:lvlJc w:val="left"/>
    </w:lvl>
    <w:lvl w:ilvl="6" w:tplc="A8181A7A">
      <w:numFmt w:val="decimal"/>
      <w:lvlText w:val=""/>
      <w:lvlJc w:val="left"/>
    </w:lvl>
    <w:lvl w:ilvl="7" w:tplc="FBAA5602">
      <w:numFmt w:val="decimal"/>
      <w:lvlText w:val=""/>
      <w:lvlJc w:val="left"/>
    </w:lvl>
    <w:lvl w:ilvl="8" w:tplc="DBB2C676">
      <w:numFmt w:val="decimal"/>
      <w:lvlText w:val=""/>
      <w:lvlJc w:val="left"/>
    </w:lvl>
  </w:abstractNum>
  <w:abstractNum w:abstractNumId="7" w15:restartNumberingAfterBreak="0">
    <w:nsid w:val="515F007C"/>
    <w:multiLevelType w:val="hybridMultilevel"/>
    <w:tmpl w:val="2D3A6D0C"/>
    <w:lvl w:ilvl="0" w:tplc="06DA3BC8">
      <w:start w:val="1"/>
      <w:numFmt w:val="decimal"/>
      <w:lvlText w:val="%1)"/>
      <w:lvlJc w:val="left"/>
    </w:lvl>
    <w:lvl w:ilvl="1" w:tplc="FA3A4FF0">
      <w:numFmt w:val="decimal"/>
      <w:lvlText w:val=""/>
      <w:lvlJc w:val="left"/>
    </w:lvl>
    <w:lvl w:ilvl="2" w:tplc="3D8EBA70">
      <w:numFmt w:val="decimal"/>
      <w:lvlText w:val=""/>
      <w:lvlJc w:val="left"/>
    </w:lvl>
    <w:lvl w:ilvl="3" w:tplc="C9485D8A">
      <w:numFmt w:val="decimal"/>
      <w:lvlText w:val=""/>
      <w:lvlJc w:val="left"/>
    </w:lvl>
    <w:lvl w:ilvl="4" w:tplc="09A8DAE4">
      <w:numFmt w:val="decimal"/>
      <w:lvlText w:val=""/>
      <w:lvlJc w:val="left"/>
    </w:lvl>
    <w:lvl w:ilvl="5" w:tplc="DB8664E0">
      <w:numFmt w:val="decimal"/>
      <w:lvlText w:val=""/>
      <w:lvlJc w:val="left"/>
    </w:lvl>
    <w:lvl w:ilvl="6" w:tplc="7E1A3018">
      <w:numFmt w:val="decimal"/>
      <w:lvlText w:val=""/>
      <w:lvlJc w:val="left"/>
    </w:lvl>
    <w:lvl w:ilvl="7" w:tplc="6F3A7318">
      <w:numFmt w:val="decimal"/>
      <w:lvlText w:val=""/>
      <w:lvlJc w:val="left"/>
    </w:lvl>
    <w:lvl w:ilvl="8" w:tplc="C130DD8C">
      <w:numFmt w:val="decimal"/>
      <w:lvlText w:val=""/>
      <w:lvlJc w:val="left"/>
    </w:lvl>
  </w:abstractNum>
  <w:abstractNum w:abstractNumId="8" w15:restartNumberingAfterBreak="0">
    <w:nsid w:val="5BD062C2"/>
    <w:multiLevelType w:val="hybridMultilevel"/>
    <w:tmpl w:val="6DA60652"/>
    <w:lvl w:ilvl="0" w:tplc="D2EE90B8">
      <w:start w:val="1"/>
      <w:numFmt w:val="decimal"/>
      <w:lvlText w:val="%1)"/>
      <w:lvlJc w:val="left"/>
    </w:lvl>
    <w:lvl w:ilvl="1" w:tplc="78865116">
      <w:numFmt w:val="decimal"/>
      <w:lvlText w:val=""/>
      <w:lvlJc w:val="left"/>
    </w:lvl>
    <w:lvl w:ilvl="2" w:tplc="19A887AA">
      <w:numFmt w:val="decimal"/>
      <w:lvlText w:val=""/>
      <w:lvlJc w:val="left"/>
    </w:lvl>
    <w:lvl w:ilvl="3" w:tplc="0AB8776C">
      <w:numFmt w:val="decimal"/>
      <w:lvlText w:val=""/>
      <w:lvlJc w:val="left"/>
    </w:lvl>
    <w:lvl w:ilvl="4" w:tplc="E9D4E6B2">
      <w:numFmt w:val="decimal"/>
      <w:lvlText w:val=""/>
      <w:lvlJc w:val="left"/>
    </w:lvl>
    <w:lvl w:ilvl="5" w:tplc="C42A1300">
      <w:numFmt w:val="decimal"/>
      <w:lvlText w:val=""/>
      <w:lvlJc w:val="left"/>
    </w:lvl>
    <w:lvl w:ilvl="6" w:tplc="43F8DA60">
      <w:numFmt w:val="decimal"/>
      <w:lvlText w:val=""/>
      <w:lvlJc w:val="left"/>
    </w:lvl>
    <w:lvl w:ilvl="7" w:tplc="20E0A2D2">
      <w:numFmt w:val="decimal"/>
      <w:lvlText w:val=""/>
      <w:lvlJc w:val="left"/>
    </w:lvl>
    <w:lvl w:ilvl="8" w:tplc="C8644E78">
      <w:numFmt w:val="decimal"/>
      <w:lvlText w:val=""/>
      <w:lvlJc w:val="left"/>
    </w:lvl>
  </w:abstractNum>
  <w:abstractNum w:abstractNumId="9" w15:restartNumberingAfterBreak="0">
    <w:nsid w:val="7545E146"/>
    <w:multiLevelType w:val="hybridMultilevel"/>
    <w:tmpl w:val="75F49F2C"/>
    <w:lvl w:ilvl="0" w:tplc="04B855FA">
      <w:start w:val="1"/>
      <w:numFmt w:val="decimal"/>
      <w:lvlText w:val="%1)"/>
      <w:lvlJc w:val="left"/>
    </w:lvl>
    <w:lvl w:ilvl="1" w:tplc="CE981BBE">
      <w:numFmt w:val="decimal"/>
      <w:lvlText w:val=""/>
      <w:lvlJc w:val="left"/>
    </w:lvl>
    <w:lvl w:ilvl="2" w:tplc="93EEB2A2">
      <w:numFmt w:val="decimal"/>
      <w:lvlText w:val=""/>
      <w:lvlJc w:val="left"/>
    </w:lvl>
    <w:lvl w:ilvl="3" w:tplc="6658945E">
      <w:numFmt w:val="decimal"/>
      <w:lvlText w:val=""/>
      <w:lvlJc w:val="left"/>
    </w:lvl>
    <w:lvl w:ilvl="4" w:tplc="4C7EECDE">
      <w:numFmt w:val="decimal"/>
      <w:lvlText w:val=""/>
      <w:lvlJc w:val="left"/>
    </w:lvl>
    <w:lvl w:ilvl="5" w:tplc="AE1AB4AA">
      <w:numFmt w:val="decimal"/>
      <w:lvlText w:val=""/>
      <w:lvlJc w:val="left"/>
    </w:lvl>
    <w:lvl w:ilvl="6" w:tplc="8542D35A">
      <w:numFmt w:val="decimal"/>
      <w:lvlText w:val=""/>
      <w:lvlJc w:val="left"/>
    </w:lvl>
    <w:lvl w:ilvl="7" w:tplc="ABE2B24C">
      <w:numFmt w:val="decimal"/>
      <w:lvlText w:val=""/>
      <w:lvlJc w:val="left"/>
    </w:lvl>
    <w:lvl w:ilvl="8" w:tplc="97CA8E74">
      <w:numFmt w:val="decimal"/>
      <w:lvlText w:val=""/>
      <w:lvlJc w:val="left"/>
    </w:lvl>
  </w:abstractNum>
  <w:abstractNum w:abstractNumId="10" w15:restartNumberingAfterBreak="0">
    <w:nsid w:val="79E2A9E3"/>
    <w:multiLevelType w:val="hybridMultilevel"/>
    <w:tmpl w:val="DC56851C"/>
    <w:lvl w:ilvl="0" w:tplc="E7100F8A">
      <w:start w:val="1"/>
      <w:numFmt w:val="decimal"/>
      <w:lvlText w:val="%1)"/>
      <w:lvlJc w:val="left"/>
    </w:lvl>
    <w:lvl w:ilvl="1" w:tplc="7C1E1D42">
      <w:start w:val="1"/>
      <w:numFmt w:val="lowerLetter"/>
      <w:lvlText w:val="%2"/>
      <w:lvlJc w:val="left"/>
    </w:lvl>
    <w:lvl w:ilvl="2" w:tplc="D224509C">
      <w:numFmt w:val="decimal"/>
      <w:lvlText w:val=""/>
      <w:lvlJc w:val="left"/>
    </w:lvl>
    <w:lvl w:ilvl="3" w:tplc="F7589532">
      <w:numFmt w:val="decimal"/>
      <w:lvlText w:val=""/>
      <w:lvlJc w:val="left"/>
    </w:lvl>
    <w:lvl w:ilvl="4" w:tplc="13784A28">
      <w:numFmt w:val="decimal"/>
      <w:lvlText w:val=""/>
      <w:lvlJc w:val="left"/>
    </w:lvl>
    <w:lvl w:ilvl="5" w:tplc="469E6ECE">
      <w:numFmt w:val="decimal"/>
      <w:lvlText w:val=""/>
      <w:lvlJc w:val="left"/>
    </w:lvl>
    <w:lvl w:ilvl="6" w:tplc="626A173A">
      <w:numFmt w:val="decimal"/>
      <w:lvlText w:val=""/>
      <w:lvlJc w:val="left"/>
    </w:lvl>
    <w:lvl w:ilvl="7" w:tplc="5F50DBA4">
      <w:numFmt w:val="decimal"/>
      <w:lvlText w:val=""/>
      <w:lvlJc w:val="left"/>
    </w:lvl>
    <w:lvl w:ilvl="8" w:tplc="D02260F4">
      <w:numFmt w:val="decimal"/>
      <w:lvlText w:val=""/>
      <w:lvlJc w:val="left"/>
    </w:lvl>
  </w:abstractNum>
  <w:num w:numId="1" w16cid:durableId="1680767984">
    <w:abstractNumId w:val="6"/>
  </w:num>
  <w:num w:numId="2" w16cid:durableId="1608929790">
    <w:abstractNumId w:val="3"/>
  </w:num>
  <w:num w:numId="3" w16cid:durableId="1858930413">
    <w:abstractNumId w:val="4"/>
  </w:num>
  <w:num w:numId="4" w16cid:durableId="1870947209">
    <w:abstractNumId w:val="10"/>
  </w:num>
  <w:num w:numId="5" w16cid:durableId="653996324">
    <w:abstractNumId w:val="9"/>
  </w:num>
  <w:num w:numId="6" w16cid:durableId="461966591">
    <w:abstractNumId w:val="7"/>
  </w:num>
  <w:num w:numId="7" w16cid:durableId="204221291">
    <w:abstractNumId w:val="8"/>
  </w:num>
  <w:num w:numId="8" w16cid:durableId="118037133">
    <w:abstractNumId w:val="1"/>
  </w:num>
  <w:num w:numId="9" w16cid:durableId="1544518762">
    <w:abstractNumId w:val="5"/>
  </w:num>
  <w:num w:numId="10" w16cid:durableId="777870870">
    <w:abstractNumId w:val="0"/>
  </w:num>
  <w:num w:numId="11" w16cid:durableId="623075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79"/>
    <w:rsid w:val="00452679"/>
    <w:rsid w:val="0049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9C0B"/>
  <w15:docId w15:val="{A884BAFE-50E9-407B-91F4-747D198B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1314</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Obec Klíny</cp:lastModifiedBy>
  <cp:revision>2</cp:revision>
  <dcterms:created xsi:type="dcterms:W3CDTF">2023-12-07T08:43:00Z</dcterms:created>
  <dcterms:modified xsi:type="dcterms:W3CDTF">2023-12-07T08:43:00Z</dcterms:modified>
</cp:coreProperties>
</file>