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507B" w:rsidRDefault="0031507B" w:rsidP="0031507B">
      <w:pPr>
        <w:pStyle w:val="Nadpis1"/>
        <w:jc w:val="left"/>
        <w:rPr>
          <w:b/>
          <w:bCs/>
          <w:sz w:val="28"/>
          <w:szCs w:val="28"/>
        </w:rPr>
      </w:pPr>
    </w:p>
    <w:p w:rsidR="0031507B" w:rsidRDefault="0031507B" w:rsidP="0031507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Obec Běrunice</w:t>
      </w:r>
    </w:p>
    <w:p w:rsidR="0031507B" w:rsidRDefault="0031507B" w:rsidP="0031507B">
      <w:pPr>
        <w:pStyle w:val="Zkladntext"/>
        <w:jc w:val="center"/>
        <w:rPr>
          <w:b/>
          <w:sz w:val="28"/>
          <w:szCs w:val="28"/>
        </w:rPr>
      </w:pPr>
    </w:p>
    <w:p w:rsidR="0031507B" w:rsidRDefault="0031507B" w:rsidP="0031507B">
      <w:pPr>
        <w:pStyle w:val="Zkladntext"/>
        <w:jc w:val="center"/>
        <w:rPr>
          <w:bCs/>
          <w:i/>
        </w:rPr>
      </w:pPr>
      <w:r w:rsidRPr="005D2760">
        <w:rPr>
          <w:b/>
          <w:sz w:val="28"/>
          <w:szCs w:val="28"/>
        </w:rPr>
        <w:t>Nařízení obce</w:t>
      </w:r>
      <w:r>
        <w:rPr>
          <w:b/>
          <w:sz w:val="28"/>
          <w:szCs w:val="28"/>
        </w:rPr>
        <w:t xml:space="preserve"> Běrunice,</w:t>
      </w:r>
    </w:p>
    <w:p w:rsidR="0031507B" w:rsidRDefault="0031507B" w:rsidP="0031507B">
      <w:pPr>
        <w:jc w:val="center"/>
        <w:rPr>
          <w:b/>
          <w:sz w:val="28"/>
          <w:szCs w:val="28"/>
        </w:rPr>
      </w:pPr>
    </w:p>
    <w:p w:rsidR="0031507B" w:rsidRDefault="0031507B" w:rsidP="0031507B">
      <w:pPr>
        <w:pStyle w:val="Zkladntex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č.1/2024</w:t>
      </w:r>
    </w:p>
    <w:p w:rsidR="0031507B" w:rsidRPr="006541A4" w:rsidRDefault="0031507B" w:rsidP="0031507B">
      <w:pPr>
        <w:pStyle w:val="Zkladntext"/>
        <w:jc w:val="center"/>
        <w:rPr>
          <w:i/>
        </w:rPr>
      </w:pPr>
    </w:p>
    <w:p w:rsidR="0031507B" w:rsidRPr="006541A4" w:rsidRDefault="0031507B" w:rsidP="0031507B">
      <w:pPr>
        <w:pStyle w:val="Zkladntext"/>
        <w:jc w:val="center"/>
      </w:pPr>
      <w:r w:rsidRPr="006541A4">
        <w:t>kterým ruší Nařízení č. 1/2023 ,</w:t>
      </w:r>
      <w:r>
        <w:t xml:space="preserve"> </w:t>
      </w:r>
      <w:r w:rsidRPr="006541A4">
        <w:t xml:space="preserve">kterým se stanovuje cena nájmů míst na veřejném pohřebišti v areálu </w:t>
      </w:r>
      <w:proofErr w:type="gramStart"/>
      <w:r w:rsidRPr="006541A4">
        <w:t>hřbitova  v Běrunicích</w:t>
      </w:r>
      <w:proofErr w:type="gramEnd"/>
      <w:r w:rsidRPr="006541A4">
        <w:t xml:space="preserve"> a  Vlkově nad Lesy a úhrady za služby spojené s tímto pronájmem veřejného pohřebiště.</w:t>
      </w:r>
    </w:p>
    <w:p w:rsidR="0031507B" w:rsidRPr="006541A4" w:rsidRDefault="0031507B" w:rsidP="0031507B">
      <w:pPr>
        <w:jc w:val="center"/>
      </w:pPr>
    </w:p>
    <w:p w:rsidR="0031507B" w:rsidRPr="006541A4" w:rsidRDefault="0031507B" w:rsidP="0031507B">
      <w:pPr>
        <w:jc w:val="both"/>
      </w:pPr>
    </w:p>
    <w:p w:rsidR="0031507B" w:rsidRPr="006541A4" w:rsidRDefault="0031507B" w:rsidP="0031507B">
      <w:pPr>
        <w:jc w:val="both"/>
      </w:pPr>
      <w:r w:rsidRPr="006541A4">
        <w:t xml:space="preserve">Zastupitelstvo obce Běrunice se na svém zasedání dne </w:t>
      </w:r>
      <w:proofErr w:type="gramStart"/>
      <w:r w:rsidRPr="006541A4">
        <w:t>19.6.2024</w:t>
      </w:r>
      <w:proofErr w:type="gramEnd"/>
      <w:r w:rsidRPr="006541A4">
        <w:t xml:space="preserve"> usnesením č.239/16/2024 usneslo vydat na základě § 11 odst. 1, § 84 odst. 3 a § 102 odst. 4 zákona č. 128/2000 Sb., o obcích (obecní zřízení), ve znění pozdějších předpisů, toto nařízení: </w:t>
      </w:r>
    </w:p>
    <w:p w:rsidR="0031507B" w:rsidRPr="006541A4" w:rsidRDefault="0031507B" w:rsidP="0031507B">
      <w:pPr>
        <w:pStyle w:val="Nadpis2"/>
        <w:jc w:val="center"/>
      </w:pPr>
    </w:p>
    <w:p w:rsidR="0031507B" w:rsidRPr="006541A4" w:rsidRDefault="0031507B" w:rsidP="0031507B"/>
    <w:p w:rsidR="0031507B" w:rsidRPr="006541A4" w:rsidRDefault="0031507B" w:rsidP="0031507B">
      <w:pPr>
        <w:pStyle w:val="Nadpis2"/>
        <w:jc w:val="center"/>
        <w:rPr>
          <w:b/>
        </w:rPr>
      </w:pPr>
      <w:r w:rsidRPr="006541A4">
        <w:rPr>
          <w:b/>
        </w:rPr>
        <w:t>Čl. 1</w:t>
      </w:r>
    </w:p>
    <w:p w:rsidR="0031507B" w:rsidRPr="006541A4" w:rsidRDefault="0031507B" w:rsidP="0031507B">
      <w:pPr>
        <w:jc w:val="center"/>
      </w:pPr>
      <w:r w:rsidRPr="006541A4">
        <w:rPr>
          <w:b/>
        </w:rPr>
        <w:t>Zrušovací ustanovení</w:t>
      </w:r>
      <w:r w:rsidRPr="006541A4">
        <w:t xml:space="preserve"> </w:t>
      </w:r>
    </w:p>
    <w:p w:rsidR="0031507B" w:rsidRPr="006541A4" w:rsidRDefault="0031507B" w:rsidP="0031507B">
      <w:pPr>
        <w:adjustRightInd w:val="0"/>
        <w:rPr>
          <w:b/>
        </w:rPr>
      </w:pPr>
      <w:r w:rsidRPr="006541A4">
        <w:t xml:space="preserve">Zrušuje se nařízení obce č. 1/2023, kterým se stanovuje cena nájmů míst na veřejném pohřebišti v areálu </w:t>
      </w:r>
      <w:proofErr w:type="gramStart"/>
      <w:r w:rsidRPr="006541A4">
        <w:t>hřbitova  v Běrunicích</w:t>
      </w:r>
      <w:proofErr w:type="gramEnd"/>
      <w:r w:rsidRPr="006541A4">
        <w:t xml:space="preserve"> a  Vlkově nad Lesy a úhrady za služby spojené s tímto pronájmem veřejného pohřebiště</w:t>
      </w:r>
      <w:r w:rsidRPr="006541A4">
        <w:rPr>
          <w:b/>
        </w:rPr>
        <w:t>.</w:t>
      </w:r>
    </w:p>
    <w:p w:rsidR="0031507B" w:rsidRPr="006541A4" w:rsidRDefault="0031507B" w:rsidP="0031507B">
      <w:pPr>
        <w:pStyle w:val="Zkladntext"/>
        <w:spacing w:before="120"/>
      </w:pPr>
      <w:r w:rsidRPr="006541A4">
        <w:rPr>
          <w:iCs/>
        </w:rPr>
        <w:t xml:space="preserve">ze dne </w:t>
      </w:r>
      <w:proofErr w:type="gramStart"/>
      <w:r w:rsidRPr="006541A4">
        <w:rPr>
          <w:iCs/>
        </w:rPr>
        <w:t>10.5.2023</w:t>
      </w:r>
      <w:proofErr w:type="gramEnd"/>
    </w:p>
    <w:p w:rsidR="0031507B" w:rsidRPr="006541A4" w:rsidRDefault="0031507B" w:rsidP="0031507B">
      <w:pPr>
        <w:pStyle w:val="Zkladntext"/>
        <w:tabs>
          <w:tab w:val="left" w:pos="540"/>
        </w:tabs>
        <w:spacing w:before="120"/>
        <w:jc w:val="center"/>
        <w:rPr>
          <w:b/>
        </w:rPr>
      </w:pPr>
      <w:r w:rsidRPr="006541A4">
        <w:rPr>
          <w:b/>
        </w:rPr>
        <w:t>Čl. 2</w:t>
      </w:r>
    </w:p>
    <w:p w:rsidR="0031507B" w:rsidRPr="006541A4" w:rsidRDefault="0031507B" w:rsidP="0031507B">
      <w:pPr>
        <w:pStyle w:val="Zkladntext"/>
        <w:tabs>
          <w:tab w:val="left" w:pos="540"/>
        </w:tabs>
        <w:jc w:val="center"/>
        <w:rPr>
          <w:b/>
        </w:rPr>
      </w:pPr>
      <w:r w:rsidRPr="006541A4">
        <w:rPr>
          <w:b/>
        </w:rPr>
        <w:t>Účinnost</w:t>
      </w:r>
    </w:p>
    <w:p w:rsidR="0031507B" w:rsidRPr="006541A4" w:rsidRDefault="0031507B" w:rsidP="0031507B">
      <w:pPr>
        <w:pStyle w:val="Zkladntext"/>
        <w:tabs>
          <w:tab w:val="left" w:pos="540"/>
        </w:tabs>
        <w:jc w:val="center"/>
      </w:pPr>
    </w:p>
    <w:p w:rsidR="0031507B" w:rsidRPr="006541A4" w:rsidRDefault="0031507B" w:rsidP="0031507B">
      <w:pPr>
        <w:jc w:val="both"/>
        <w:rPr>
          <w:i/>
        </w:rPr>
      </w:pPr>
      <w:r w:rsidRPr="006541A4">
        <w:t xml:space="preserve">Toto nařízení nabývá účinnosti </w:t>
      </w:r>
      <w:r>
        <w:t xml:space="preserve">dnem </w:t>
      </w:r>
      <w:proofErr w:type="gramStart"/>
      <w:r>
        <w:t>4.7.2024</w:t>
      </w:r>
      <w:proofErr w:type="gramEnd"/>
    </w:p>
    <w:p w:rsidR="0031507B" w:rsidRPr="006541A4" w:rsidRDefault="0031507B" w:rsidP="0031507B">
      <w:pPr>
        <w:jc w:val="both"/>
        <w:rPr>
          <w:b/>
          <w:bCs/>
        </w:rPr>
      </w:pPr>
    </w:p>
    <w:p w:rsidR="0031507B" w:rsidRPr="006541A4" w:rsidRDefault="0031507B" w:rsidP="0031507B">
      <w:pPr>
        <w:pStyle w:val="Odstavecseseznamem"/>
        <w:spacing w:after="160" w:line="259" w:lineRule="auto"/>
        <w:rPr>
          <w:rFonts w:ascii="Times New Roman" w:hAnsi="Times New Roman"/>
          <w:sz w:val="24"/>
          <w:szCs w:val="24"/>
        </w:rPr>
      </w:pPr>
    </w:p>
    <w:p w:rsidR="0031507B" w:rsidRPr="006541A4" w:rsidRDefault="0031507B" w:rsidP="0031507B">
      <w:pPr>
        <w:pStyle w:val="Odstavecseseznamem"/>
        <w:spacing w:after="160" w:line="259" w:lineRule="auto"/>
        <w:rPr>
          <w:rFonts w:ascii="Times New Roman" w:hAnsi="Times New Roman"/>
          <w:i/>
          <w:sz w:val="24"/>
          <w:szCs w:val="24"/>
        </w:rPr>
      </w:pPr>
      <w:r w:rsidRPr="006541A4">
        <w:rPr>
          <w:rFonts w:ascii="Times New Roman" w:hAnsi="Times New Roman"/>
          <w:i/>
          <w:sz w:val="24"/>
          <w:szCs w:val="24"/>
        </w:rPr>
        <w:t xml:space="preserve">         </w:t>
      </w:r>
      <w:r w:rsidRPr="006541A4">
        <w:rPr>
          <w:rFonts w:ascii="Times New Roman" w:hAnsi="Times New Roman"/>
          <w:i/>
          <w:sz w:val="24"/>
          <w:szCs w:val="24"/>
        </w:rPr>
        <w:tab/>
      </w:r>
      <w:r w:rsidRPr="006541A4">
        <w:rPr>
          <w:rFonts w:ascii="Times New Roman" w:hAnsi="Times New Roman"/>
          <w:sz w:val="24"/>
          <w:szCs w:val="24"/>
        </w:rPr>
        <w:tab/>
      </w:r>
      <w:r w:rsidRPr="006541A4">
        <w:rPr>
          <w:rFonts w:ascii="Times New Roman" w:hAnsi="Times New Roman"/>
          <w:sz w:val="24"/>
          <w:szCs w:val="24"/>
        </w:rPr>
        <w:tab/>
      </w:r>
      <w:r w:rsidRPr="006541A4">
        <w:rPr>
          <w:rFonts w:ascii="Times New Roman" w:hAnsi="Times New Roman"/>
          <w:sz w:val="24"/>
          <w:szCs w:val="24"/>
        </w:rPr>
        <w:tab/>
      </w:r>
      <w:r w:rsidRPr="006541A4">
        <w:rPr>
          <w:rFonts w:ascii="Times New Roman" w:hAnsi="Times New Roman"/>
          <w:sz w:val="24"/>
          <w:szCs w:val="24"/>
        </w:rPr>
        <w:tab/>
      </w:r>
      <w:r w:rsidRPr="006541A4">
        <w:rPr>
          <w:rFonts w:ascii="Times New Roman" w:hAnsi="Times New Roman"/>
          <w:sz w:val="24"/>
          <w:szCs w:val="24"/>
        </w:rPr>
        <w:tab/>
      </w:r>
      <w:r w:rsidRPr="006541A4">
        <w:rPr>
          <w:rFonts w:ascii="Times New Roman" w:hAnsi="Times New Roman"/>
          <w:sz w:val="24"/>
          <w:szCs w:val="24"/>
        </w:rPr>
        <w:tab/>
      </w:r>
    </w:p>
    <w:p w:rsidR="0031507B" w:rsidRPr="006541A4" w:rsidRDefault="0031507B" w:rsidP="0031507B">
      <w:pPr>
        <w:pStyle w:val="Odstavecseseznamem"/>
        <w:spacing w:after="160" w:line="259" w:lineRule="auto"/>
        <w:rPr>
          <w:rFonts w:ascii="Times New Roman" w:hAnsi="Times New Roman"/>
          <w:sz w:val="24"/>
          <w:szCs w:val="24"/>
        </w:rPr>
      </w:pPr>
      <w:r w:rsidRPr="006541A4">
        <w:rPr>
          <w:rFonts w:ascii="Times New Roman" w:hAnsi="Times New Roman"/>
          <w:sz w:val="24"/>
          <w:szCs w:val="24"/>
        </w:rPr>
        <w:t>….….………………</w:t>
      </w:r>
      <w:r w:rsidRPr="006541A4">
        <w:rPr>
          <w:rFonts w:ascii="Times New Roman" w:hAnsi="Times New Roman"/>
          <w:sz w:val="24"/>
          <w:szCs w:val="24"/>
        </w:rPr>
        <w:tab/>
      </w:r>
      <w:r w:rsidRPr="006541A4">
        <w:rPr>
          <w:rFonts w:ascii="Times New Roman" w:hAnsi="Times New Roman"/>
          <w:sz w:val="24"/>
          <w:szCs w:val="24"/>
        </w:rPr>
        <w:tab/>
      </w:r>
      <w:r w:rsidRPr="006541A4">
        <w:rPr>
          <w:rFonts w:ascii="Times New Roman" w:hAnsi="Times New Roman"/>
          <w:sz w:val="24"/>
          <w:szCs w:val="24"/>
        </w:rPr>
        <w:tab/>
      </w:r>
      <w:r w:rsidRPr="006541A4">
        <w:rPr>
          <w:rFonts w:ascii="Times New Roman" w:hAnsi="Times New Roman"/>
          <w:sz w:val="24"/>
          <w:szCs w:val="24"/>
        </w:rPr>
        <w:tab/>
      </w:r>
      <w:r w:rsidRPr="006541A4">
        <w:rPr>
          <w:rFonts w:ascii="Times New Roman" w:hAnsi="Times New Roman"/>
          <w:sz w:val="24"/>
          <w:szCs w:val="24"/>
        </w:rPr>
        <w:tab/>
        <w:t>…….…………..………</w:t>
      </w:r>
    </w:p>
    <w:p w:rsidR="0031507B" w:rsidRPr="006541A4" w:rsidRDefault="0031507B" w:rsidP="0031507B">
      <w:pPr>
        <w:pStyle w:val="Odstavecseseznamem"/>
        <w:spacing w:after="160" w:line="259" w:lineRule="auto"/>
        <w:rPr>
          <w:rFonts w:ascii="Times New Roman" w:hAnsi="Times New Roman"/>
          <w:sz w:val="24"/>
          <w:szCs w:val="24"/>
        </w:rPr>
      </w:pPr>
      <w:r w:rsidRPr="006541A4">
        <w:rPr>
          <w:rFonts w:ascii="Times New Roman" w:hAnsi="Times New Roman"/>
          <w:sz w:val="24"/>
          <w:szCs w:val="24"/>
        </w:rPr>
        <w:t xml:space="preserve">  Radek Černý</w:t>
      </w:r>
      <w:r w:rsidRPr="006541A4"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v.r</w:t>
      </w:r>
      <w:proofErr w:type="spellEnd"/>
      <w:r w:rsidRPr="006541A4">
        <w:rPr>
          <w:rFonts w:ascii="Times New Roman" w:hAnsi="Times New Roman"/>
          <w:sz w:val="24"/>
          <w:szCs w:val="24"/>
        </w:rPr>
        <w:tab/>
      </w:r>
      <w:r w:rsidRPr="006541A4">
        <w:rPr>
          <w:rFonts w:ascii="Times New Roman" w:hAnsi="Times New Roman"/>
          <w:sz w:val="24"/>
          <w:szCs w:val="24"/>
        </w:rPr>
        <w:tab/>
      </w:r>
      <w:r w:rsidRPr="006541A4">
        <w:rPr>
          <w:rFonts w:ascii="Times New Roman" w:hAnsi="Times New Roman"/>
          <w:sz w:val="24"/>
          <w:szCs w:val="24"/>
        </w:rPr>
        <w:tab/>
      </w:r>
      <w:r w:rsidRPr="006541A4">
        <w:rPr>
          <w:rFonts w:ascii="Times New Roman" w:hAnsi="Times New Roman"/>
          <w:sz w:val="24"/>
          <w:szCs w:val="24"/>
        </w:rPr>
        <w:tab/>
        <w:t xml:space="preserve">    </w:t>
      </w:r>
      <w:r w:rsidRPr="006541A4">
        <w:rPr>
          <w:rFonts w:ascii="Times New Roman" w:hAnsi="Times New Roman"/>
          <w:sz w:val="24"/>
          <w:szCs w:val="24"/>
        </w:rPr>
        <w:tab/>
        <w:t xml:space="preserve">       Iva Schmidová</w:t>
      </w:r>
      <w:r w:rsidR="00D15573"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v.r.</w:t>
      </w:r>
      <w:proofErr w:type="gramEnd"/>
    </w:p>
    <w:p w:rsidR="0031507B" w:rsidRPr="006541A4" w:rsidRDefault="0031507B" w:rsidP="0031507B">
      <w:pPr>
        <w:pStyle w:val="Odstavecseseznamem"/>
        <w:spacing w:after="160" w:line="259" w:lineRule="auto"/>
        <w:rPr>
          <w:rFonts w:ascii="Times New Roman" w:hAnsi="Times New Roman"/>
          <w:sz w:val="24"/>
          <w:szCs w:val="24"/>
        </w:rPr>
      </w:pPr>
      <w:r w:rsidRPr="006541A4">
        <w:rPr>
          <w:rFonts w:ascii="Times New Roman" w:hAnsi="Times New Roman"/>
          <w:sz w:val="24"/>
          <w:szCs w:val="24"/>
        </w:rPr>
        <w:t xml:space="preserve">  místostarosta obce</w:t>
      </w:r>
      <w:r w:rsidRPr="006541A4">
        <w:rPr>
          <w:rFonts w:ascii="Times New Roman" w:hAnsi="Times New Roman"/>
          <w:sz w:val="24"/>
          <w:szCs w:val="24"/>
        </w:rPr>
        <w:tab/>
      </w:r>
      <w:r w:rsidRPr="006541A4">
        <w:rPr>
          <w:rFonts w:ascii="Times New Roman" w:hAnsi="Times New Roman"/>
          <w:sz w:val="24"/>
          <w:szCs w:val="24"/>
        </w:rPr>
        <w:tab/>
      </w:r>
      <w:r w:rsidRPr="006541A4">
        <w:rPr>
          <w:rFonts w:ascii="Times New Roman" w:hAnsi="Times New Roman"/>
          <w:sz w:val="24"/>
          <w:szCs w:val="24"/>
        </w:rPr>
        <w:tab/>
      </w:r>
      <w:r w:rsidRPr="006541A4">
        <w:rPr>
          <w:rFonts w:ascii="Times New Roman" w:hAnsi="Times New Roman"/>
          <w:sz w:val="24"/>
          <w:szCs w:val="24"/>
        </w:rPr>
        <w:tab/>
      </w:r>
      <w:r w:rsidRPr="006541A4">
        <w:rPr>
          <w:rFonts w:ascii="Times New Roman" w:hAnsi="Times New Roman"/>
          <w:sz w:val="24"/>
          <w:szCs w:val="24"/>
        </w:rPr>
        <w:tab/>
        <w:t xml:space="preserve">          starostka obce</w:t>
      </w:r>
    </w:p>
    <w:p w:rsidR="0031507B" w:rsidRDefault="0031507B" w:rsidP="0031507B">
      <w:pPr>
        <w:tabs>
          <w:tab w:val="left" w:pos="3780"/>
        </w:tabs>
        <w:jc w:val="both"/>
        <w:rPr>
          <w:i/>
          <w:color w:val="0070C0"/>
          <w:u w:val="single"/>
        </w:rPr>
      </w:pPr>
    </w:p>
    <w:p w:rsidR="0031507B" w:rsidRDefault="0031507B" w:rsidP="0031507B">
      <w:pPr>
        <w:tabs>
          <w:tab w:val="left" w:pos="3780"/>
        </w:tabs>
        <w:jc w:val="both"/>
        <w:rPr>
          <w:i/>
          <w:color w:val="0070C0"/>
          <w:u w:val="single"/>
        </w:rPr>
      </w:pPr>
    </w:p>
    <w:p w:rsidR="0031507B" w:rsidRDefault="0031507B" w:rsidP="0031507B">
      <w:pPr>
        <w:tabs>
          <w:tab w:val="left" w:pos="3780"/>
        </w:tabs>
        <w:jc w:val="both"/>
        <w:rPr>
          <w:i/>
          <w:color w:val="0070C0"/>
          <w:u w:val="single"/>
        </w:rPr>
      </w:pPr>
      <w:bookmarkStart w:id="0" w:name="_GoBack"/>
      <w:bookmarkEnd w:id="0"/>
    </w:p>
    <w:p w:rsidR="0031507B" w:rsidRDefault="0031507B" w:rsidP="0031507B">
      <w:pPr>
        <w:tabs>
          <w:tab w:val="left" w:pos="3780"/>
        </w:tabs>
        <w:jc w:val="both"/>
        <w:rPr>
          <w:i/>
          <w:color w:val="0070C0"/>
          <w:u w:val="single"/>
        </w:rPr>
      </w:pPr>
    </w:p>
    <w:p w:rsidR="0031507B" w:rsidRDefault="0031507B" w:rsidP="0031507B">
      <w:pPr>
        <w:tabs>
          <w:tab w:val="left" w:pos="3780"/>
        </w:tabs>
        <w:jc w:val="both"/>
        <w:rPr>
          <w:i/>
          <w:color w:val="0070C0"/>
          <w:u w:val="single"/>
        </w:rPr>
      </w:pPr>
    </w:p>
    <w:p w:rsidR="0031507B" w:rsidRDefault="0031507B" w:rsidP="0031507B">
      <w:pPr>
        <w:tabs>
          <w:tab w:val="left" w:pos="3780"/>
        </w:tabs>
        <w:jc w:val="both"/>
        <w:rPr>
          <w:i/>
          <w:color w:val="0070C0"/>
          <w:u w:val="single"/>
        </w:rPr>
      </w:pPr>
    </w:p>
    <w:p w:rsidR="0031507B" w:rsidRDefault="0031507B" w:rsidP="0031507B">
      <w:pPr>
        <w:tabs>
          <w:tab w:val="left" w:pos="3780"/>
        </w:tabs>
        <w:jc w:val="both"/>
        <w:rPr>
          <w:i/>
          <w:color w:val="0070C0"/>
          <w:u w:val="single"/>
        </w:rPr>
      </w:pPr>
    </w:p>
    <w:p w:rsidR="0031507B" w:rsidRDefault="0031507B" w:rsidP="0031507B">
      <w:pPr>
        <w:tabs>
          <w:tab w:val="left" w:pos="3780"/>
        </w:tabs>
        <w:jc w:val="both"/>
        <w:rPr>
          <w:i/>
          <w:color w:val="0070C0"/>
          <w:u w:val="single"/>
        </w:rPr>
      </w:pPr>
    </w:p>
    <w:p w:rsidR="0031507B" w:rsidRDefault="0031507B" w:rsidP="0031507B">
      <w:pPr>
        <w:tabs>
          <w:tab w:val="left" w:pos="3780"/>
        </w:tabs>
        <w:jc w:val="both"/>
        <w:rPr>
          <w:i/>
          <w:color w:val="0070C0"/>
          <w:u w:val="single"/>
        </w:rPr>
      </w:pPr>
    </w:p>
    <w:p w:rsidR="0031507B" w:rsidRDefault="0031507B" w:rsidP="0031507B">
      <w:pPr>
        <w:tabs>
          <w:tab w:val="left" w:pos="3780"/>
        </w:tabs>
        <w:jc w:val="both"/>
        <w:rPr>
          <w:i/>
          <w:color w:val="0070C0"/>
          <w:u w:val="single"/>
        </w:rPr>
      </w:pPr>
    </w:p>
    <w:p w:rsidR="0031507B" w:rsidRDefault="0031507B" w:rsidP="0031507B">
      <w:pPr>
        <w:tabs>
          <w:tab w:val="left" w:pos="3780"/>
        </w:tabs>
        <w:jc w:val="both"/>
        <w:rPr>
          <w:i/>
          <w:color w:val="0070C0"/>
          <w:u w:val="single"/>
        </w:rPr>
      </w:pPr>
    </w:p>
    <w:p w:rsidR="0031507B" w:rsidRDefault="0031507B" w:rsidP="0031507B">
      <w:pPr>
        <w:tabs>
          <w:tab w:val="left" w:pos="3780"/>
        </w:tabs>
        <w:jc w:val="both"/>
        <w:rPr>
          <w:i/>
          <w:color w:val="0070C0"/>
          <w:u w:val="single"/>
        </w:rPr>
      </w:pPr>
    </w:p>
    <w:p w:rsidR="0031507B" w:rsidRDefault="0031507B" w:rsidP="0031507B">
      <w:pPr>
        <w:tabs>
          <w:tab w:val="left" w:pos="3780"/>
        </w:tabs>
        <w:jc w:val="both"/>
        <w:rPr>
          <w:i/>
          <w:color w:val="0070C0"/>
          <w:u w:val="single"/>
        </w:rPr>
      </w:pPr>
    </w:p>
    <w:p w:rsidR="00F313C4" w:rsidRPr="0031507B" w:rsidRDefault="00F313C4" w:rsidP="0031507B"/>
    <w:sectPr w:rsidR="00F313C4" w:rsidRPr="0031507B" w:rsidSect="00EB1D46">
      <w:pgSz w:w="11906" w:h="16838" w:code="9"/>
      <w:pgMar w:top="1418" w:right="1361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4E7"/>
    <w:rsid w:val="0015437F"/>
    <w:rsid w:val="002D64E7"/>
    <w:rsid w:val="0031507B"/>
    <w:rsid w:val="00D15573"/>
    <w:rsid w:val="00F31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F7D330-4B7D-4A00-B485-5EDECF543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5437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31507B"/>
    <w:pPr>
      <w:keepNext/>
      <w:widowControl/>
      <w:autoSpaceDE w:val="0"/>
      <w:autoSpaceDN w:val="0"/>
      <w:jc w:val="center"/>
      <w:outlineLvl w:val="0"/>
    </w:pPr>
    <w:rPr>
      <w:szCs w:val="24"/>
    </w:rPr>
  </w:style>
  <w:style w:type="paragraph" w:styleId="Nadpis2">
    <w:name w:val="heading 2"/>
    <w:basedOn w:val="Normln"/>
    <w:next w:val="Normln"/>
    <w:link w:val="Nadpis2Char"/>
    <w:qFormat/>
    <w:rsid w:val="0031507B"/>
    <w:pPr>
      <w:keepNext/>
      <w:widowControl/>
      <w:autoSpaceDE w:val="0"/>
      <w:autoSpaceDN w:val="0"/>
      <w:jc w:val="both"/>
      <w:outlineLvl w:val="1"/>
    </w:pPr>
    <w:rPr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31507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31507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31507B"/>
    <w:pPr>
      <w:widowControl/>
      <w:autoSpaceDE w:val="0"/>
      <w:autoSpaceDN w:val="0"/>
      <w:jc w:val="both"/>
    </w:pPr>
    <w:rPr>
      <w:szCs w:val="24"/>
    </w:rPr>
  </w:style>
  <w:style w:type="character" w:customStyle="1" w:styleId="ZkladntextChar">
    <w:name w:val="Základní text Char"/>
    <w:basedOn w:val="Standardnpsmoodstavce"/>
    <w:link w:val="Zkladntext"/>
    <w:rsid w:val="0031507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31507B"/>
    <w:pPr>
      <w:widowControl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855</Characters>
  <Application>Microsoft Office Word</Application>
  <DocSecurity>0</DocSecurity>
  <Lines>7</Lines>
  <Paragraphs>1</Paragraphs>
  <ScaleCrop>false</ScaleCrop>
  <Company/>
  <LinksUpToDate>false</LinksUpToDate>
  <CharactersWithSpaces>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účetní</dc:creator>
  <cp:keywords/>
  <dc:description/>
  <cp:lastModifiedBy>Ucetni</cp:lastModifiedBy>
  <cp:revision>5</cp:revision>
  <dcterms:created xsi:type="dcterms:W3CDTF">2023-05-30T05:56:00Z</dcterms:created>
  <dcterms:modified xsi:type="dcterms:W3CDTF">2024-06-26T09:23:00Z</dcterms:modified>
</cp:coreProperties>
</file>