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295" w:rsidRPr="00880102" w:rsidRDefault="00185295" w:rsidP="00185295">
      <w:pPr>
        <w:jc w:val="center"/>
        <w:rPr>
          <w:b/>
          <w:sz w:val="40"/>
          <w:szCs w:val="40"/>
        </w:rPr>
      </w:pPr>
      <w:r>
        <w:rPr>
          <w:b/>
          <w:sz w:val="40"/>
          <w:szCs w:val="40"/>
        </w:rPr>
        <w:t xml:space="preserve">O B E C   V E L I K Á   V E S </w:t>
      </w:r>
    </w:p>
    <w:p w:rsidR="00185295" w:rsidRDefault="00185295" w:rsidP="00185295">
      <w:pPr>
        <w:jc w:val="center"/>
        <w:rPr>
          <w:b/>
          <w:sz w:val="20"/>
        </w:rPr>
      </w:pPr>
    </w:p>
    <w:p w:rsidR="00185295" w:rsidRPr="007913A8" w:rsidRDefault="00185295" w:rsidP="00185295">
      <w:pPr>
        <w:jc w:val="center"/>
        <w:rPr>
          <w:b/>
          <w:sz w:val="32"/>
        </w:rPr>
      </w:pPr>
      <w:r w:rsidRPr="007913A8">
        <w:rPr>
          <w:b/>
          <w:sz w:val="32"/>
        </w:rPr>
        <w:t xml:space="preserve">ZASTUPITELSTVO OBCE </w:t>
      </w:r>
      <w:r>
        <w:rPr>
          <w:b/>
          <w:sz w:val="32"/>
        </w:rPr>
        <w:t>VELIKÁ VES</w:t>
      </w:r>
    </w:p>
    <w:p w:rsidR="00FB0283" w:rsidRPr="000F09B9" w:rsidRDefault="00FB0283"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 č</w:t>
      </w:r>
      <w:r w:rsidR="00EE3BBF" w:rsidRPr="00A0241C">
        <w:rPr>
          <w:b/>
          <w:bCs/>
          <w:sz w:val="32"/>
          <w:szCs w:val="32"/>
        </w:rPr>
        <w:t xml:space="preserve">. </w:t>
      </w:r>
      <w:r w:rsidR="004B0258">
        <w:rPr>
          <w:b/>
          <w:bCs/>
          <w:sz w:val="32"/>
          <w:szCs w:val="32"/>
        </w:rPr>
        <w:t>1</w:t>
      </w:r>
      <w:r w:rsidR="001911FB" w:rsidRPr="00A0241C">
        <w:rPr>
          <w:b/>
          <w:bCs/>
          <w:sz w:val="32"/>
          <w:szCs w:val="32"/>
        </w:rPr>
        <w:t>/</w:t>
      </w:r>
      <w:r w:rsidR="00563F82">
        <w:rPr>
          <w:b/>
          <w:bCs/>
          <w:sz w:val="32"/>
          <w:szCs w:val="32"/>
        </w:rPr>
        <w:t>2019</w:t>
      </w:r>
      <w:r w:rsidR="00A0241C" w:rsidRPr="00A0241C">
        <w:rPr>
          <w:b/>
          <w:bCs/>
          <w:sz w:val="32"/>
          <w:szCs w:val="32"/>
        </w:rPr>
        <w:t>,</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185295">
        <w:rPr>
          <w:i/>
        </w:rPr>
        <w:t>Veliká Ves</w:t>
      </w:r>
      <w:r w:rsidRPr="00AD642E">
        <w:rPr>
          <w:i/>
        </w:rPr>
        <w:t xml:space="preserve"> se na svém zasedání dne </w:t>
      </w:r>
      <w:r w:rsidR="004B0258">
        <w:rPr>
          <w:i/>
        </w:rPr>
        <w:t>18. 12.</w:t>
      </w:r>
      <w:r w:rsidR="00F32935">
        <w:rPr>
          <w:i/>
        </w:rPr>
        <w:t xml:space="preserve"> </w:t>
      </w:r>
      <w:r w:rsidR="00563F82">
        <w:rPr>
          <w:i/>
        </w:rPr>
        <w:t>2019</w:t>
      </w:r>
      <w:r w:rsidRPr="00AD642E">
        <w:rPr>
          <w:i/>
        </w:rPr>
        <w:t xml:space="preserve"> usneslo </w:t>
      </w:r>
      <w:r w:rsidR="00E1572A">
        <w:rPr>
          <w:i/>
        </w:rPr>
        <w:t>usnesením č.</w:t>
      </w:r>
      <w:r w:rsidR="0007241D">
        <w:rPr>
          <w:i/>
        </w:rPr>
        <w:t> </w:t>
      </w:r>
      <w:r w:rsidR="00EE4E90">
        <w:rPr>
          <w:i/>
        </w:rPr>
        <w:t>140/19</w:t>
      </w:r>
      <w:r w:rsidR="0007241D">
        <w:rPr>
          <w:i/>
        </w:rPr>
        <w:t xml:space="preserve"> </w:t>
      </w:r>
      <w:r w:rsidRPr="00AD642E">
        <w:rPr>
          <w:i/>
        </w:rPr>
        <w:t>vydat na</w:t>
      </w:r>
      <w:r>
        <w:rPr>
          <w:i/>
        </w:rPr>
        <w:t> </w:t>
      </w:r>
      <w:r w:rsidRPr="00AD642E">
        <w:rPr>
          <w:i/>
        </w:rPr>
        <w:t>základě § 14 zákona č. 565/1990 Sb., o</w:t>
      </w:r>
      <w:r w:rsidR="0007241D">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sidR="0007241D">
        <w:rPr>
          <w:i/>
        </w:rPr>
        <w:t> </w:t>
      </w:r>
      <w:r w:rsidRPr="00895C6E">
        <w:rPr>
          <w:i/>
        </w:rPr>
        <w:t>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185295">
        <w:t>Veliká Ves</w:t>
      </w:r>
      <w:r w:rsidR="009958F0"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Obecní úřad </w:t>
      </w:r>
      <w:r w:rsidR="00185295">
        <w:t>Veliká Ves</w:t>
      </w:r>
      <w:r w:rsidR="00185295" w:rsidRPr="001C02F7">
        <w:t xml:space="preserve"> </w:t>
      </w:r>
      <w:r w:rsidRPr="004B09AE">
        <w:t>(dále jen „správce poplatku“).</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4B09AE" w:rsidRDefault="00563F82" w:rsidP="00563F82">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563F82" w:rsidRPr="004B09AE" w:rsidRDefault="00563F82" w:rsidP="00563F82">
      <w:pPr>
        <w:numPr>
          <w:ilvl w:val="0"/>
          <w:numId w:val="34"/>
        </w:numPr>
        <w:jc w:val="both"/>
      </w:pPr>
      <w:r w:rsidRPr="004B09AE">
        <w:t>Poplatníka vymezuje zákon.</w:t>
      </w:r>
      <w:r w:rsidRPr="004B09AE">
        <w:rPr>
          <w:rStyle w:val="Znakapoznpodarou"/>
        </w:rPr>
        <w:footnoteReference w:id="3"/>
      </w:r>
      <w:r w:rsidRPr="004B09AE">
        <w:rPr>
          <w:vertAlign w:val="superscript"/>
        </w:rPr>
        <w:t>)</w:t>
      </w:r>
    </w:p>
    <w:p w:rsidR="00563F82" w:rsidRDefault="00563F82" w:rsidP="009958F0">
      <w:pPr>
        <w:pStyle w:val="Zkladntext"/>
        <w:spacing w:after="0"/>
        <w:rPr>
          <w:sz w:val="20"/>
          <w:szCs w:val="20"/>
          <w:highlight w:val="magenta"/>
        </w:rPr>
      </w:pPr>
    </w:p>
    <w:p w:rsidR="009958F0" w:rsidRPr="00D6118C" w:rsidRDefault="009958F0" w:rsidP="009958F0">
      <w:pPr>
        <w:jc w:val="center"/>
        <w:rPr>
          <w:b/>
        </w:rPr>
      </w:pPr>
      <w:r w:rsidRPr="00D6118C">
        <w:rPr>
          <w:b/>
        </w:rPr>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185295">
        <w:t>15</w:t>
      </w:r>
      <w:r w:rsidRPr="00D6118C">
        <w:t xml:space="preserve"> dnů od vzniku poplatkové povinnosti. Ve stejné lhůtě se ohlašuje nárok na osvobození, existoval-li důvod osvobození v okamžiku vzniku poplatkové povinnosti.</w:t>
      </w:r>
    </w:p>
    <w:p w:rsidR="004857FE" w:rsidRPr="00305E51" w:rsidRDefault="004857FE" w:rsidP="004857FE">
      <w:pPr>
        <w:pStyle w:val="normal"/>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4"/>
      </w:r>
      <w:r w:rsidRPr="00305E51">
        <w:rPr>
          <w:szCs w:val="24"/>
          <w:vertAlign w:val="superscript"/>
        </w:rPr>
        <w:t>)</w:t>
      </w:r>
    </w:p>
    <w:p w:rsidR="004857FE" w:rsidRDefault="004857FE" w:rsidP="004857FE">
      <w:pPr>
        <w:pStyle w:val="normal"/>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5"/>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6"/>
      </w:r>
      <w:r w:rsidRPr="00305E51">
        <w:rPr>
          <w:bCs/>
          <w:szCs w:val="24"/>
          <w:vertAlign w:val="superscript"/>
        </w:rPr>
        <w:t>)</w:t>
      </w:r>
      <w:r>
        <w:rPr>
          <w:bCs/>
          <w:szCs w:val="24"/>
        </w:rPr>
        <w:t xml:space="preserve"> </w:t>
      </w:r>
    </w:p>
    <w:p w:rsidR="00D6118C" w:rsidRPr="004857FE"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008A3DE5" w:rsidRPr="004B0258">
        <w:rPr>
          <w:sz w:val="23"/>
          <w:szCs w:val="23"/>
        </w:rPr>
        <w:t>nebo úlevy</w:t>
      </w:r>
      <w:r w:rsidRPr="00476544">
        <w:rPr>
          <w:sz w:val="23"/>
          <w:szCs w:val="23"/>
        </w:rPr>
        <w:t xml:space="preserve"> stanoví zákon.</w:t>
      </w:r>
      <w:r w:rsidRPr="00476544">
        <w:rPr>
          <w:rStyle w:val="Znakapoznpodarou"/>
          <w:sz w:val="23"/>
          <w:szCs w:val="23"/>
        </w:rPr>
        <w:footnoteReference w:id="7"/>
      </w:r>
      <w:r w:rsidRPr="00476544">
        <w:rPr>
          <w:sz w:val="23"/>
          <w:szCs w:val="23"/>
          <w:vertAlign w:val="superscript"/>
        </w:rPr>
        <w:t>)</w:t>
      </w:r>
    </w:p>
    <w:p w:rsidR="009958F0" w:rsidRPr="00563F82" w:rsidRDefault="009958F0" w:rsidP="009958F0">
      <w:pPr>
        <w:pStyle w:val="normal"/>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D6118C" w:rsidRDefault="009958F0" w:rsidP="009958F0">
      <w:pPr>
        <w:jc w:val="center"/>
        <w:rPr>
          <w:b/>
          <w:bCs/>
        </w:rPr>
      </w:pPr>
      <w:r w:rsidRPr="00D6118C">
        <w:rPr>
          <w:b/>
          <w:bCs/>
        </w:rPr>
        <w:t>Sazba poplatku</w:t>
      </w:r>
    </w:p>
    <w:p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C50FE6" w:rsidRPr="00185295" w:rsidTr="00B70858">
        <w:tblPrEx>
          <w:tblCellMar>
            <w:top w:w="0" w:type="dxa"/>
            <w:bottom w:w="0" w:type="dxa"/>
          </w:tblCellMar>
        </w:tblPrEx>
        <w:tc>
          <w:tcPr>
            <w:tcW w:w="4962" w:type="dxa"/>
            <w:gridSpan w:val="2"/>
            <w:tcBorders>
              <w:top w:val="nil"/>
              <w:left w:val="nil"/>
            </w:tcBorders>
          </w:tcPr>
          <w:p w:rsidR="00C50FE6" w:rsidRPr="002F7188" w:rsidRDefault="00C50FE6" w:rsidP="00B70858">
            <w:pPr>
              <w:pStyle w:val="Zkladntextodsazen3"/>
              <w:spacing w:after="0"/>
              <w:ind w:left="0"/>
              <w:rPr>
                <w:sz w:val="24"/>
                <w:szCs w:val="24"/>
                <w:lang w:val="cs-CZ" w:eastAsia="cs-CZ"/>
              </w:rPr>
            </w:pPr>
          </w:p>
          <w:p w:rsidR="00C50FE6" w:rsidRPr="002F7188" w:rsidRDefault="00C50FE6" w:rsidP="00B70858">
            <w:pPr>
              <w:pStyle w:val="Zkladntextodsazen3"/>
              <w:spacing w:after="0"/>
              <w:ind w:left="0"/>
              <w:rPr>
                <w:sz w:val="24"/>
                <w:szCs w:val="24"/>
                <w:lang w:val="cs-CZ" w:eastAsia="cs-CZ"/>
              </w:rPr>
            </w:pPr>
            <w:r w:rsidRPr="002F7188">
              <w:rPr>
                <w:sz w:val="24"/>
                <w:szCs w:val="24"/>
                <w:lang w:val="cs-CZ" w:eastAsia="cs-CZ"/>
              </w:rPr>
              <w:t>Sazba poplatku činí za kalendářní rok:</w:t>
            </w:r>
          </w:p>
          <w:p w:rsidR="00C50FE6" w:rsidRPr="00185295" w:rsidRDefault="00C50FE6" w:rsidP="00B70858">
            <w:pPr>
              <w:jc w:val="center"/>
            </w:pPr>
          </w:p>
        </w:tc>
        <w:tc>
          <w:tcPr>
            <w:tcW w:w="1984" w:type="dxa"/>
            <w:vAlign w:val="center"/>
          </w:tcPr>
          <w:p w:rsidR="00C50FE6" w:rsidRPr="00185295" w:rsidRDefault="00C50FE6" w:rsidP="00B70858">
            <w:pPr>
              <w:jc w:val="center"/>
            </w:pPr>
            <w:r w:rsidRPr="00185295">
              <w:t xml:space="preserve">za </w:t>
            </w:r>
            <w:r w:rsidR="00D801CF" w:rsidRPr="00185295">
              <w:t xml:space="preserve">jednoho </w:t>
            </w:r>
            <w:r w:rsidRPr="00185295">
              <w:t>psa</w:t>
            </w:r>
          </w:p>
        </w:tc>
        <w:tc>
          <w:tcPr>
            <w:tcW w:w="2126" w:type="dxa"/>
            <w:vAlign w:val="center"/>
          </w:tcPr>
          <w:p w:rsidR="00C50FE6" w:rsidRPr="00185295" w:rsidRDefault="00C50FE6" w:rsidP="00B70858">
            <w:pPr>
              <w:jc w:val="center"/>
            </w:pPr>
            <w:r w:rsidRPr="00185295">
              <w:t>za druhého a každého dalšího psa téhož držitele</w:t>
            </w:r>
          </w:p>
        </w:tc>
      </w:tr>
      <w:tr w:rsidR="00C50FE6" w:rsidRPr="00185295" w:rsidTr="00B70858">
        <w:tblPrEx>
          <w:tblCellMar>
            <w:top w:w="0" w:type="dxa"/>
            <w:bottom w:w="0" w:type="dxa"/>
          </w:tblCellMar>
        </w:tblPrEx>
        <w:tc>
          <w:tcPr>
            <w:tcW w:w="340" w:type="dxa"/>
          </w:tcPr>
          <w:p w:rsidR="00C50FE6" w:rsidRPr="00185295" w:rsidRDefault="00C50FE6" w:rsidP="00B70858">
            <w:r w:rsidRPr="00185295">
              <w:t>a)</w:t>
            </w:r>
          </w:p>
        </w:tc>
        <w:tc>
          <w:tcPr>
            <w:tcW w:w="4622" w:type="dxa"/>
            <w:vAlign w:val="center"/>
          </w:tcPr>
          <w:p w:rsidR="00C50FE6" w:rsidRPr="00185295" w:rsidRDefault="00C50FE6" w:rsidP="00185295">
            <w:pPr>
              <w:jc w:val="both"/>
            </w:pPr>
            <w:r w:rsidRPr="00185295">
              <w:t xml:space="preserve">ze psa </w:t>
            </w:r>
            <w:r w:rsidR="00185295" w:rsidRPr="00185295">
              <w:t>jehož držitelem je poživatel invalidního, starobního, vdovského nebo vdoveckého důchodu, který je jeho jediným zdrojem příjmu, anebo poživatel sirotčího důchodu</w:t>
            </w:r>
          </w:p>
        </w:tc>
        <w:tc>
          <w:tcPr>
            <w:tcW w:w="1984" w:type="dxa"/>
            <w:vAlign w:val="center"/>
          </w:tcPr>
          <w:p w:rsidR="00C50FE6" w:rsidRPr="00185295" w:rsidRDefault="00185295" w:rsidP="002D5C87">
            <w:pPr>
              <w:jc w:val="center"/>
            </w:pPr>
            <w:r w:rsidRPr="00185295">
              <w:t>20</w:t>
            </w:r>
            <w:r w:rsidR="00C50FE6" w:rsidRPr="00185295">
              <w:t xml:space="preserve"> Kč</w:t>
            </w:r>
          </w:p>
        </w:tc>
        <w:tc>
          <w:tcPr>
            <w:tcW w:w="2126" w:type="dxa"/>
            <w:vAlign w:val="center"/>
          </w:tcPr>
          <w:p w:rsidR="00C50FE6" w:rsidRPr="00185295" w:rsidRDefault="00185295" w:rsidP="002D5C87">
            <w:pPr>
              <w:jc w:val="center"/>
            </w:pPr>
            <w:r w:rsidRPr="00185295">
              <w:t>30</w:t>
            </w:r>
            <w:r w:rsidR="00C50FE6" w:rsidRPr="00185295">
              <w:t xml:space="preserve"> Kč</w:t>
            </w:r>
          </w:p>
        </w:tc>
      </w:tr>
      <w:tr w:rsidR="00185295" w:rsidRPr="00185295" w:rsidTr="00B70858">
        <w:tblPrEx>
          <w:tblCellMar>
            <w:top w:w="0" w:type="dxa"/>
            <w:bottom w:w="0" w:type="dxa"/>
          </w:tblCellMar>
        </w:tblPrEx>
        <w:tc>
          <w:tcPr>
            <w:tcW w:w="340" w:type="dxa"/>
          </w:tcPr>
          <w:p w:rsidR="00185295" w:rsidRPr="00185295" w:rsidRDefault="00185295" w:rsidP="00B70858">
            <w:r w:rsidRPr="00185295">
              <w:t>b)</w:t>
            </w:r>
          </w:p>
        </w:tc>
        <w:tc>
          <w:tcPr>
            <w:tcW w:w="4622" w:type="dxa"/>
            <w:vAlign w:val="center"/>
          </w:tcPr>
          <w:p w:rsidR="00185295" w:rsidRPr="00185295" w:rsidRDefault="00185295" w:rsidP="00B70858">
            <w:pPr>
              <w:jc w:val="both"/>
            </w:pPr>
            <w:r w:rsidRPr="00185295">
              <w:t>ze psa, jehož držitelem je osoba starší 65 let</w:t>
            </w:r>
          </w:p>
        </w:tc>
        <w:tc>
          <w:tcPr>
            <w:tcW w:w="1984" w:type="dxa"/>
            <w:vAlign w:val="center"/>
          </w:tcPr>
          <w:p w:rsidR="00185295" w:rsidRPr="00185295" w:rsidRDefault="00185295" w:rsidP="00CF706F">
            <w:pPr>
              <w:jc w:val="center"/>
            </w:pPr>
            <w:r w:rsidRPr="00185295">
              <w:t>20 Kč</w:t>
            </w:r>
          </w:p>
        </w:tc>
        <w:tc>
          <w:tcPr>
            <w:tcW w:w="2126" w:type="dxa"/>
            <w:vAlign w:val="center"/>
          </w:tcPr>
          <w:p w:rsidR="00185295" w:rsidRPr="00185295" w:rsidRDefault="00185295" w:rsidP="00CF706F">
            <w:pPr>
              <w:jc w:val="center"/>
            </w:pPr>
            <w:r w:rsidRPr="00185295">
              <w:t>30 Kč</w:t>
            </w:r>
          </w:p>
        </w:tc>
      </w:tr>
      <w:tr w:rsidR="00C50FE6" w:rsidRPr="00185295" w:rsidTr="00B70858">
        <w:tblPrEx>
          <w:tblCellMar>
            <w:top w:w="0" w:type="dxa"/>
            <w:bottom w:w="0" w:type="dxa"/>
          </w:tblCellMar>
        </w:tblPrEx>
        <w:tc>
          <w:tcPr>
            <w:tcW w:w="340" w:type="dxa"/>
          </w:tcPr>
          <w:p w:rsidR="00C50FE6" w:rsidRPr="00185295" w:rsidRDefault="00C50FE6" w:rsidP="00B70858">
            <w:r w:rsidRPr="00185295">
              <w:t>c)</w:t>
            </w:r>
          </w:p>
        </w:tc>
        <w:tc>
          <w:tcPr>
            <w:tcW w:w="4622" w:type="dxa"/>
            <w:vAlign w:val="center"/>
          </w:tcPr>
          <w:p w:rsidR="00C50FE6" w:rsidRPr="00185295" w:rsidRDefault="00C50FE6" w:rsidP="00185295">
            <w:pPr>
              <w:jc w:val="both"/>
            </w:pPr>
            <w:r w:rsidRPr="00185295">
              <w:t>z jiného psa než uvedeného v písm. a)</w:t>
            </w:r>
            <w:r w:rsidR="00185295" w:rsidRPr="00185295">
              <w:t xml:space="preserve"> nebo</w:t>
            </w:r>
            <w:r w:rsidRPr="00185295">
              <w:t xml:space="preserve"> b)</w:t>
            </w:r>
          </w:p>
        </w:tc>
        <w:tc>
          <w:tcPr>
            <w:tcW w:w="1984" w:type="dxa"/>
            <w:vAlign w:val="center"/>
          </w:tcPr>
          <w:p w:rsidR="00C50FE6" w:rsidRPr="00185295" w:rsidRDefault="00185295" w:rsidP="002D5C87">
            <w:pPr>
              <w:jc w:val="center"/>
            </w:pPr>
            <w:r w:rsidRPr="00185295">
              <w:t>150</w:t>
            </w:r>
            <w:r w:rsidR="00C50FE6" w:rsidRPr="00185295">
              <w:t xml:space="preserve"> Kč</w:t>
            </w:r>
          </w:p>
        </w:tc>
        <w:tc>
          <w:tcPr>
            <w:tcW w:w="2126" w:type="dxa"/>
            <w:vAlign w:val="center"/>
          </w:tcPr>
          <w:p w:rsidR="00C50FE6" w:rsidRPr="00185295" w:rsidRDefault="00185295" w:rsidP="00185295">
            <w:pPr>
              <w:jc w:val="center"/>
            </w:pPr>
            <w:r w:rsidRPr="00185295">
              <w:t xml:space="preserve">225 </w:t>
            </w:r>
            <w:r w:rsidR="00C50FE6" w:rsidRPr="00185295">
              <w:t>Kč</w:t>
            </w:r>
          </w:p>
        </w:tc>
      </w:tr>
    </w:tbl>
    <w:p w:rsidR="00C50FE6" w:rsidRPr="00185295" w:rsidRDefault="00C50FE6" w:rsidP="00C50FE6">
      <w:pPr>
        <w:pStyle w:val="Zkladntext"/>
        <w:rPr>
          <w:bCs/>
        </w:rPr>
      </w:pPr>
    </w:p>
    <w:p w:rsidR="009958F0" w:rsidRPr="00185295" w:rsidRDefault="00D17A87" w:rsidP="009958F0">
      <w:pPr>
        <w:pStyle w:val="Zkladntext"/>
        <w:spacing w:after="0"/>
        <w:jc w:val="center"/>
        <w:rPr>
          <w:b/>
          <w:bCs/>
        </w:rPr>
      </w:pPr>
      <w:r w:rsidRPr="00185295">
        <w:rPr>
          <w:b/>
          <w:bCs/>
        </w:rPr>
        <w:t>Článek 5</w:t>
      </w:r>
    </w:p>
    <w:p w:rsidR="009958F0" w:rsidRDefault="009958F0" w:rsidP="009958F0">
      <w:pPr>
        <w:pStyle w:val="Zkladntext"/>
        <w:spacing w:after="0"/>
        <w:jc w:val="center"/>
        <w:rPr>
          <w:b/>
          <w:bCs/>
        </w:rPr>
      </w:pPr>
      <w:r w:rsidRPr="00185295">
        <w:rPr>
          <w:b/>
          <w:bCs/>
        </w:rPr>
        <w:t>Osvobození</w:t>
      </w:r>
    </w:p>
    <w:p w:rsidR="00185295" w:rsidRPr="00D17A87" w:rsidRDefault="00185295" w:rsidP="009958F0">
      <w:pPr>
        <w:pStyle w:val="Zkladntext"/>
        <w:spacing w:after="0"/>
        <w:jc w:val="center"/>
        <w:rPr>
          <w:b/>
          <w:bCs/>
        </w:rPr>
      </w:pPr>
    </w:p>
    <w:p w:rsidR="00D17A87" w:rsidRPr="002D5C87" w:rsidRDefault="00D17A87" w:rsidP="00185295">
      <w:pPr>
        <w:pStyle w:val="Zkladntext"/>
        <w:spacing w:after="0"/>
      </w:pPr>
      <w:r w:rsidRPr="002D5C87">
        <w:t xml:space="preserve">Důvody osvobození </w:t>
      </w:r>
      <w:r w:rsidR="004C39E1" w:rsidRPr="002D5C87">
        <w:t xml:space="preserve">od poplatku </w:t>
      </w:r>
      <w:r w:rsidRPr="002D5C87">
        <w:t>stanoví zákon.</w:t>
      </w:r>
      <w:r w:rsidRPr="002D5C87">
        <w:rPr>
          <w:rStyle w:val="Znakapoznpodarou"/>
        </w:rPr>
        <w:footnoteReference w:id="8"/>
      </w:r>
      <w:r w:rsidRPr="002D5C87">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B1B51">
        <w:rPr>
          <w:b/>
          <w:bCs/>
        </w:rPr>
        <w:t>6</w:t>
      </w:r>
    </w:p>
    <w:p w:rsidR="009958F0" w:rsidRPr="00AB1B51" w:rsidRDefault="009958F0" w:rsidP="009958F0">
      <w:pPr>
        <w:pStyle w:val="Zkladntext"/>
        <w:spacing w:after="0"/>
        <w:jc w:val="center"/>
        <w:rPr>
          <w:b/>
          <w:bCs/>
        </w:rPr>
      </w:pPr>
      <w:r w:rsidRPr="00AB1B51">
        <w:rPr>
          <w:b/>
          <w:bCs/>
        </w:rPr>
        <w:t>Splatnost poplatku</w:t>
      </w:r>
    </w:p>
    <w:p w:rsidR="009958F0" w:rsidRPr="00AB1B51" w:rsidRDefault="009958F0" w:rsidP="009958F0">
      <w:pPr>
        <w:pStyle w:val="Zkladntext"/>
        <w:spacing w:after="0"/>
        <w:jc w:val="center"/>
        <w:rPr>
          <w:b/>
          <w:bCs/>
        </w:rPr>
      </w:pPr>
    </w:p>
    <w:p w:rsidR="009958F0" w:rsidRPr="00AB1B51" w:rsidRDefault="009958F0" w:rsidP="009958F0">
      <w:pPr>
        <w:pStyle w:val="Zkladntext"/>
        <w:numPr>
          <w:ilvl w:val="0"/>
          <w:numId w:val="26"/>
        </w:numPr>
        <w:spacing w:after="0"/>
        <w:jc w:val="both"/>
      </w:pPr>
      <w:r w:rsidRPr="00AB1B51">
        <w:t xml:space="preserve">Poplatek je splatný nejpozději do </w:t>
      </w:r>
      <w:r w:rsidR="004B0258">
        <w:t>30</w:t>
      </w:r>
      <w:r w:rsidR="00185295">
        <w:t xml:space="preserve">. </w:t>
      </w:r>
      <w:r w:rsidR="004B0258">
        <w:t>6</w:t>
      </w:r>
      <w:r w:rsidR="00185295">
        <w:t>.</w:t>
      </w:r>
      <w:r w:rsidR="002C0E7E" w:rsidRPr="00AB1B51">
        <w:t xml:space="preserve"> příslušného kalendářního roku.</w:t>
      </w:r>
    </w:p>
    <w:p w:rsidR="00185295" w:rsidRPr="00AB1B51" w:rsidRDefault="00185295" w:rsidP="00185295">
      <w:pPr>
        <w:pStyle w:val="Zkladntext"/>
        <w:numPr>
          <w:ilvl w:val="0"/>
          <w:numId w:val="26"/>
        </w:numPr>
        <w:spacing w:after="0"/>
        <w:jc w:val="both"/>
      </w:pPr>
      <w:r w:rsidRPr="00AB1B51">
        <w:t xml:space="preserve">V případě vzniku poplatkové povinnosti (nebo zániku osvobození) po </w:t>
      </w:r>
      <w:r>
        <w:t xml:space="preserve">15. </w:t>
      </w:r>
      <w:r w:rsidR="004B0258">
        <w:t>6</w:t>
      </w:r>
      <w:r>
        <w:t xml:space="preserve">. </w:t>
      </w:r>
      <w:r w:rsidRPr="00AB1B51">
        <w:t xml:space="preserve">příslušného kalendářního roku, je poměrná výše poplatku splatná nejpozději do </w:t>
      </w:r>
      <w:r>
        <w:t xml:space="preserve">15. dne měsíce bezprostředně následujícího po měsíci </w:t>
      </w:r>
      <w:r w:rsidRPr="00AB1B51">
        <w:t>vzniku poplatkové povinnosti (nebo zániku osvobození).</w:t>
      </w:r>
    </w:p>
    <w:p w:rsidR="00F32935" w:rsidRPr="00D17A87" w:rsidRDefault="00F32935" w:rsidP="009958F0">
      <w:pPr>
        <w:tabs>
          <w:tab w:val="left" w:pos="3780"/>
        </w:tabs>
        <w:jc w:val="center"/>
        <w:rPr>
          <w:b/>
          <w:highlight w:val="magenta"/>
        </w:rPr>
      </w:pPr>
    </w:p>
    <w:p w:rsidR="00563F82" w:rsidRPr="00185295" w:rsidRDefault="00185295" w:rsidP="00AB1B51">
      <w:pPr>
        <w:pStyle w:val="slalnk"/>
        <w:keepNext w:val="0"/>
        <w:keepLines w:val="0"/>
        <w:widowControl w:val="0"/>
        <w:spacing w:before="0" w:after="0"/>
        <w:rPr>
          <w:szCs w:val="24"/>
        </w:rPr>
      </w:pPr>
      <w:r>
        <w:rPr>
          <w:szCs w:val="24"/>
          <w:highlight w:val="cyan"/>
        </w:rPr>
        <w:br w:type="page"/>
      </w:r>
      <w:r w:rsidR="00563F82" w:rsidRPr="00185295">
        <w:rPr>
          <w:szCs w:val="24"/>
        </w:rPr>
        <w:lastRenderedPageBreak/>
        <w:t>Článek 7</w:t>
      </w:r>
    </w:p>
    <w:p w:rsidR="00563F82" w:rsidRPr="00185295" w:rsidRDefault="00563F82" w:rsidP="00AB1B51">
      <w:pPr>
        <w:pStyle w:val="Nzvylnk"/>
        <w:keepNext w:val="0"/>
        <w:keepLines w:val="0"/>
        <w:widowControl w:val="0"/>
        <w:spacing w:before="0" w:after="0"/>
        <w:rPr>
          <w:szCs w:val="24"/>
        </w:rPr>
      </w:pPr>
      <w:r w:rsidRPr="00185295">
        <w:rPr>
          <w:szCs w:val="24"/>
        </w:rPr>
        <w:t>Zrušovací ustanovení</w:t>
      </w:r>
    </w:p>
    <w:p w:rsidR="00563F82" w:rsidRPr="00185295" w:rsidRDefault="00563F82" w:rsidP="00563F82">
      <w:pPr>
        <w:jc w:val="both"/>
      </w:pPr>
    </w:p>
    <w:p w:rsidR="00563F82" w:rsidRPr="00185295" w:rsidRDefault="00563F82" w:rsidP="00563F82">
      <w:pPr>
        <w:jc w:val="both"/>
      </w:pPr>
      <w:r w:rsidRPr="00185295">
        <w:t xml:space="preserve">Zrušuje se obecně závazná vyhláška č. </w:t>
      </w:r>
      <w:r w:rsidR="00185295" w:rsidRPr="00185295">
        <w:t>2/2012</w:t>
      </w:r>
      <w:r w:rsidRPr="00185295">
        <w:t xml:space="preserve">, o místním poplatku ze psů, ze dne </w:t>
      </w:r>
      <w:r w:rsidR="00185295" w:rsidRPr="00185295">
        <w:t xml:space="preserve">12. 12. </w:t>
      </w:r>
      <w:proofErr w:type="gramStart"/>
      <w:r w:rsidR="00185295" w:rsidRPr="00185295">
        <w:t>2012</w:t>
      </w:r>
      <w:r w:rsidRPr="00185295">
        <w:t xml:space="preserve"> .</w:t>
      </w:r>
      <w:proofErr w:type="gramEnd"/>
    </w:p>
    <w:p w:rsidR="00563F82" w:rsidRPr="00185295" w:rsidRDefault="00563F82" w:rsidP="00563F82">
      <w:pPr>
        <w:jc w:val="both"/>
      </w:pPr>
    </w:p>
    <w:p w:rsidR="00563F82" w:rsidRPr="00185295" w:rsidRDefault="00563F82" w:rsidP="00AB1B51">
      <w:pPr>
        <w:pStyle w:val="slalnk"/>
        <w:keepNext w:val="0"/>
        <w:keepLines w:val="0"/>
        <w:widowControl w:val="0"/>
        <w:spacing w:before="0" w:after="0"/>
        <w:rPr>
          <w:szCs w:val="24"/>
        </w:rPr>
      </w:pPr>
      <w:r w:rsidRPr="00185295">
        <w:rPr>
          <w:szCs w:val="24"/>
        </w:rPr>
        <w:t>Článek 8</w:t>
      </w:r>
    </w:p>
    <w:p w:rsidR="00563F82" w:rsidRPr="00185295" w:rsidRDefault="00563F82" w:rsidP="00AB1B51">
      <w:pPr>
        <w:pStyle w:val="Nzvylnk"/>
        <w:keepNext w:val="0"/>
        <w:keepLines w:val="0"/>
        <w:widowControl w:val="0"/>
        <w:spacing w:before="0" w:after="0"/>
        <w:rPr>
          <w:szCs w:val="24"/>
        </w:rPr>
      </w:pPr>
      <w:r w:rsidRPr="00185295">
        <w:rPr>
          <w:szCs w:val="24"/>
        </w:rPr>
        <w:t>Účinnost</w:t>
      </w:r>
    </w:p>
    <w:p w:rsidR="00563F82" w:rsidRPr="00185295" w:rsidRDefault="00563F82" w:rsidP="00563F82">
      <w:pPr>
        <w:jc w:val="both"/>
      </w:pPr>
    </w:p>
    <w:p w:rsidR="00563F82" w:rsidRPr="00437728" w:rsidRDefault="00563F82" w:rsidP="00563F82">
      <w:pPr>
        <w:jc w:val="both"/>
      </w:pPr>
      <w:r w:rsidRPr="00185295">
        <w:t>Tato vyhláška nabývá účinnosti dnem 1. 1. 2020.</w:t>
      </w:r>
    </w:p>
    <w:p w:rsidR="00563F82" w:rsidRPr="00840EAD" w:rsidRDefault="00563F82" w:rsidP="00563F82">
      <w:pPr>
        <w:ind w:firstLine="708"/>
        <w:jc w:val="both"/>
        <w:rPr>
          <w:highlight w:val="yellow"/>
        </w:rPr>
      </w:pPr>
    </w:p>
    <w:p w:rsidR="009958F0" w:rsidRDefault="009958F0" w:rsidP="009958F0">
      <w:pPr>
        <w:tabs>
          <w:tab w:val="left" w:pos="3780"/>
        </w:tabs>
        <w:jc w:val="both"/>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840EAD" w:rsidRDefault="00563F82" w:rsidP="00563F82">
      <w:pPr>
        <w:ind w:firstLine="708"/>
        <w:jc w:val="both"/>
        <w:rPr>
          <w:highlight w:val="yellow"/>
        </w:rPr>
      </w:pPr>
    </w:p>
    <w:p w:rsidR="00185295" w:rsidRPr="00F40864" w:rsidRDefault="00185295" w:rsidP="00185295">
      <w:pPr>
        <w:tabs>
          <w:tab w:val="center" w:pos="2268"/>
          <w:tab w:val="center" w:pos="6804"/>
        </w:tabs>
      </w:pPr>
    </w:p>
    <w:tbl>
      <w:tblPr>
        <w:tblW w:w="0" w:type="auto"/>
        <w:jc w:val="center"/>
        <w:tblLook w:val="04A0" w:firstRow="1" w:lastRow="0" w:firstColumn="1" w:lastColumn="0" w:noHBand="0" w:noVBand="1"/>
      </w:tblPr>
      <w:tblGrid>
        <w:gridCol w:w="4605"/>
        <w:gridCol w:w="4605"/>
      </w:tblGrid>
      <w:tr w:rsidR="00185295" w:rsidRPr="00F40864" w:rsidTr="00CF706F">
        <w:trPr>
          <w:trHeight w:val="80"/>
          <w:jc w:val="center"/>
        </w:trPr>
        <w:tc>
          <w:tcPr>
            <w:tcW w:w="4605" w:type="dxa"/>
          </w:tcPr>
          <w:p w:rsidR="00185295" w:rsidRPr="00F40864" w:rsidRDefault="00185295" w:rsidP="00CF706F">
            <w:pPr>
              <w:jc w:val="center"/>
            </w:pPr>
            <w:r w:rsidRPr="00F40864">
              <w:t>…………………………….</w:t>
            </w:r>
          </w:p>
        </w:tc>
        <w:tc>
          <w:tcPr>
            <w:tcW w:w="4605" w:type="dxa"/>
          </w:tcPr>
          <w:p w:rsidR="00185295" w:rsidRPr="00F40864" w:rsidRDefault="00185295" w:rsidP="00CF706F">
            <w:pPr>
              <w:jc w:val="center"/>
            </w:pPr>
            <w:r w:rsidRPr="00F40864">
              <w:t>…………………………….</w:t>
            </w:r>
          </w:p>
        </w:tc>
      </w:tr>
      <w:tr w:rsidR="00185295" w:rsidRPr="00814C64" w:rsidTr="00CF706F">
        <w:trPr>
          <w:jc w:val="center"/>
        </w:trPr>
        <w:tc>
          <w:tcPr>
            <w:tcW w:w="4605" w:type="dxa"/>
          </w:tcPr>
          <w:p w:rsidR="00185295" w:rsidRPr="00F40864" w:rsidRDefault="00185295" w:rsidP="00CF706F">
            <w:pPr>
              <w:jc w:val="center"/>
            </w:pPr>
            <w:r w:rsidRPr="00F40864">
              <w:t>Jiří Hlaváč</w:t>
            </w:r>
          </w:p>
          <w:p w:rsidR="00185295" w:rsidRPr="00F40864" w:rsidRDefault="00185295" w:rsidP="00CF706F">
            <w:pPr>
              <w:jc w:val="center"/>
            </w:pPr>
            <w:r w:rsidRPr="00F40864">
              <w:t>místostarosta</w:t>
            </w:r>
          </w:p>
        </w:tc>
        <w:tc>
          <w:tcPr>
            <w:tcW w:w="4605" w:type="dxa"/>
          </w:tcPr>
          <w:p w:rsidR="00185295" w:rsidRPr="00F40864" w:rsidRDefault="00185295" w:rsidP="00CF706F">
            <w:pPr>
              <w:jc w:val="center"/>
            </w:pPr>
            <w:r w:rsidRPr="00F40864">
              <w:t>Bc. Miroslav Ogáseanu</w:t>
            </w:r>
          </w:p>
          <w:p w:rsidR="00185295" w:rsidRPr="00814C64" w:rsidRDefault="00185295" w:rsidP="00CF706F">
            <w:pPr>
              <w:jc w:val="center"/>
            </w:pPr>
            <w:r w:rsidRPr="00F40864">
              <w:t>starosta</w:t>
            </w:r>
          </w:p>
        </w:tc>
      </w:tr>
    </w:tbl>
    <w:p w:rsidR="00185295" w:rsidRDefault="00185295" w:rsidP="00185295"/>
    <w:p w:rsidR="00563F82" w:rsidRDefault="00563F82"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2D5C87" w:rsidRDefault="002D5C87"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185295" w:rsidRDefault="00185295" w:rsidP="00563F82">
      <w:pPr>
        <w:pStyle w:val="Zkladntext"/>
        <w:tabs>
          <w:tab w:val="left" w:pos="1080"/>
          <w:tab w:val="left" w:pos="7020"/>
        </w:tabs>
        <w:spacing w:after="0"/>
      </w:pPr>
    </w:p>
    <w:p w:rsidR="002D5C87" w:rsidRPr="0085574A" w:rsidRDefault="002D5C87" w:rsidP="00563F82">
      <w:pPr>
        <w:pStyle w:val="Zkladntext"/>
        <w:tabs>
          <w:tab w:val="left" w:pos="1080"/>
          <w:tab w:val="left" w:pos="7020"/>
        </w:tabs>
        <w:spacing w:after="0"/>
      </w:pPr>
    </w:p>
    <w:p w:rsidR="00563F82" w:rsidRPr="0085574A" w:rsidRDefault="00563F82" w:rsidP="00563F82">
      <w:pPr>
        <w:pStyle w:val="Zkladntext"/>
        <w:tabs>
          <w:tab w:val="left" w:pos="1080"/>
          <w:tab w:val="left" w:pos="7020"/>
        </w:tabs>
        <w:spacing w:after="0"/>
      </w:pPr>
    </w:p>
    <w:p w:rsidR="00563F82" w:rsidRPr="0085574A" w:rsidRDefault="00563F82" w:rsidP="00563F82">
      <w:r w:rsidRPr="0085574A">
        <w:t>Vyvěšeno na úřední desce dne:</w:t>
      </w:r>
      <w:r w:rsidRPr="0085574A">
        <w:tab/>
      </w:r>
      <w:r w:rsidR="004B0258">
        <w:t>…………………</w:t>
      </w:r>
      <w:r w:rsidRPr="0085574A">
        <w:t xml:space="preserve"> 2019</w:t>
      </w:r>
    </w:p>
    <w:p w:rsidR="00185295" w:rsidRDefault="00185295" w:rsidP="00563F82"/>
    <w:p w:rsidR="00563F82" w:rsidRPr="00DC4DA1" w:rsidRDefault="00563F82" w:rsidP="00563F82">
      <w:r w:rsidRPr="0085574A">
        <w:t>Sejmuto z úřední desky dne:</w:t>
      </w:r>
      <w:r w:rsidRPr="0085574A">
        <w:tab/>
      </w:r>
      <w:r w:rsidRPr="0085574A">
        <w:tab/>
      </w:r>
      <w:r w:rsidR="004B0258">
        <w:t>……………</w:t>
      </w:r>
      <w:proofErr w:type="gramStart"/>
      <w:r w:rsidR="004B0258">
        <w:t>…….</w:t>
      </w:r>
      <w:proofErr w:type="gramEnd"/>
      <w:r w:rsidR="004B0258">
        <w:t>2020</w:t>
      </w:r>
    </w:p>
    <w:sectPr w:rsidR="00563F82"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7803" w:rsidRDefault="00E37803">
      <w:r>
        <w:separator/>
      </w:r>
    </w:p>
  </w:endnote>
  <w:endnote w:type="continuationSeparator" w:id="0">
    <w:p w:rsidR="00E37803" w:rsidRDefault="00E3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7803" w:rsidRDefault="00E37803">
      <w:r>
        <w:separator/>
      </w:r>
    </w:p>
  </w:footnote>
  <w:footnote w:type="continuationSeparator" w:id="0">
    <w:p w:rsidR="00E37803" w:rsidRDefault="00E37803">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4">
    <w:p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4857FE" w:rsidRPr="00463774" w:rsidRDefault="004857FE" w:rsidP="004857FE">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4857FE" w:rsidRPr="00463774" w:rsidRDefault="004857FE" w:rsidP="004857FE">
      <w:pPr>
        <w:pStyle w:val="Textpoznpodarou"/>
        <w:ind w:left="284"/>
        <w:jc w:val="both"/>
        <w:rPr>
          <w:i/>
        </w:rPr>
      </w:pPr>
      <w:r w:rsidRPr="00463774">
        <w:rPr>
          <w:i/>
        </w:rPr>
        <w:t>c) údaje rozhodné pro stanovení výše poplatku (včetně např. důvodů osvobození, pokud existují již v okamžiku podání ohlášení).</w:t>
      </w:r>
    </w:p>
    <w:p w:rsidR="004857FE" w:rsidRPr="00463774" w:rsidRDefault="004857FE" w:rsidP="004857FE">
      <w:pPr>
        <w:pStyle w:val="Textpoznpodarou"/>
        <w:ind w:left="284"/>
        <w:jc w:val="both"/>
        <w:rPr>
          <w:i/>
        </w:rPr>
      </w:pPr>
      <w:r w:rsidRPr="00463774">
        <w:rPr>
          <w:i/>
        </w:rPr>
        <w:t>3) Poplatník</w:t>
      </w:r>
      <w:r w:rsidR="005B6CC4">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6">
    <w:p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8">
    <w:p w:rsidR="00D17A87" w:rsidRPr="00BC6CCD" w:rsidRDefault="00D17A87" w:rsidP="00D17A87">
      <w:pPr>
        <w:pStyle w:val="Textpoznpodarou"/>
        <w:ind w:left="170" w:hanging="170"/>
        <w:jc w:val="both"/>
      </w:pPr>
      <w:r w:rsidRPr="00CD4FB3">
        <w:rPr>
          <w:rStyle w:val="Znakapoznpodarou"/>
        </w:rPr>
        <w:footnoteRef/>
      </w:r>
      <w:r w:rsidRPr="00CD4FB3">
        <w:rPr>
          <w:vertAlign w:val="superscript"/>
        </w:rPr>
        <w:t>)</w:t>
      </w:r>
      <w:r w:rsidRPr="00CD4FB3">
        <w:t xml:space="preserve"> </w:t>
      </w:r>
      <w:r w:rsidR="00CD4FB3" w:rsidRPr="00CD4FB3">
        <w:t>§ 2 odst. 2 zákona o místních poplatcích (</w:t>
      </w:r>
      <w:r w:rsidR="00CD4FB3"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CD4FB3"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3"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8"/>
  </w:num>
  <w:num w:numId="3">
    <w:abstractNumId w:val="27"/>
  </w:num>
  <w:num w:numId="4">
    <w:abstractNumId w:val="7"/>
  </w:num>
  <w:num w:numId="5">
    <w:abstractNumId w:val="6"/>
  </w:num>
  <w:num w:numId="6">
    <w:abstractNumId w:val="24"/>
  </w:num>
  <w:num w:numId="7">
    <w:abstractNumId w:val="34"/>
  </w:num>
  <w:num w:numId="8">
    <w:abstractNumId w:val="30"/>
  </w:num>
  <w:num w:numId="9">
    <w:abstractNumId w:val="20"/>
  </w:num>
  <w:num w:numId="10">
    <w:abstractNumId w:val="21"/>
  </w:num>
  <w:num w:numId="11">
    <w:abstractNumId w:val="15"/>
  </w:num>
  <w:num w:numId="12">
    <w:abstractNumId w:val="31"/>
  </w:num>
  <w:num w:numId="13">
    <w:abstractNumId w:val="26"/>
  </w:num>
  <w:num w:numId="14">
    <w:abstractNumId w:val="32"/>
  </w:num>
  <w:num w:numId="15">
    <w:abstractNumId w:val="28"/>
  </w:num>
  <w:num w:numId="16">
    <w:abstractNumId w:val="33"/>
  </w:num>
  <w:num w:numId="17">
    <w:abstractNumId w:val="12"/>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14"/>
  </w:num>
  <w:num w:numId="2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5"/>
  </w:num>
  <w:num w:numId="28">
    <w:abstractNumId w:val="19"/>
  </w:num>
  <w:num w:numId="29">
    <w:abstractNumId w:val="11"/>
  </w:num>
  <w:num w:numId="30">
    <w:abstractNumId w:val="0"/>
  </w:num>
  <w:num w:numId="31">
    <w:abstractNumId w:val="16"/>
  </w:num>
  <w:num w:numId="32">
    <w:abstractNumId w:val="13"/>
  </w:num>
  <w:num w:numId="33">
    <w:abstractNumId w:val="23"/>
  </w:num>
  <w:num w:numId="34">
    <w:abstractNumId w:val="2"/>
  </w:num>
  <w:num w:numId="35">
    <w:abstractNumId w:val="3"/>
  </w:num>
  <w:num w:numId="3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6DC9"/>
    <w:rsid w:val="0007241D"/>
    <w:rsid w:val="000848FF"/>
    <w:rsid w:val="00087CE6"/>
    <w:rsid w:val="000A7589"/>
    <w:rsid w:val="000B589E"/>
    <w:rsid w:val="000B68CB"/>
    <w:rsid w:val="000C50BC"/>
    <w:rsid w:val="000E12F4"/>
    <w:rsid w:val="000E1AAB"/>
    <w:rsid w:val="000E1F65"/>
    <w:rsid w:val="000F09B9"/>
    <w:rsid w:val="000F7BE0"/>
    <w:rsid w:val="00111AED"/>
    <w:rsid w:val="00117E5A"/>
    <w:rsid w:val="00120CFB"/>
    <w:rsid w:val="0012430A"/>
    <w:rsid w:val="001245AF"/>
    <w:rsid w:val="0012476D"/>
    <w:rsid w:val="00132DAB"/>
    <w:rsid w:val="00135A4F"/>
    <w:rsid w:val="00143268"/>
    <w:rsid w:val="00147A4E"/>
    <w:rsid w:val="001530CF"/>
    <w:rsid w:val="001538BD"/>
    <w:rsid w:val="00153F67"/>
    <w:rsid w:val="00162D24"/>
    <w:rsid w:val="00185295"/>
    <w:rsid w:val="0019093A"/>
    <w:rsid w:val="0019118B"/>
    <w:rsid w:val="001911FB"/>
    <w:rsid w:val="001920F1"/>
    <w:rsid w:val="001921E5"/>
    <w:rsid w:val="0019666C"/>
    <w:rsid w:val="001A016B"/>
    <w:rsid w:val="001A135C"/>
    <w:rsid w:val="001A3C9D"/>
    <w:rsid w:val="001B174B"/>
    <w:rsid w:val="001D01A6"/>
    <w:rsid w:val="001D398A"/>
    <w:rsid w:val="001D56FE"/>
    <w:rsid w:val="001D5B42"/>
    <w:rsid w:val="001E3275"/>
    <w:rsid w:val="001E5C84"/>
    <w:rsid w:val="001E6F5F"/>
    <w:rsid w:val="001F596D"/>
    <w:rsid w:val="00211CCA"/>
    <w:rsid w:val="00222085"/>
    <w:rsid w:val="00240E68"/>
    <w:rsid w:val="00251974"/>
    <w:rsid w:val="00266882"/>
    <w:rsid w:val="00282BA9"/>
    <w:rsid w:val="00285BAE"/>
    <w:rsid w:val="002960E4"/>
    <w:rsid w:val="002C0E7E"/>
    <w:rsid w:val="002C6AE6"/>
    <w:rsid w:val="002D238A"/>
    <w:rsid w:val="002D5C87"/>
    <w:rsid w:val="002E6FA0"/>
    <w:rsid w:val="002E773F"/>
    <w:rsid w:val="002F7188"/>
    <w:rsid w:val="00305E51"/>
    <w:rsid w:val="00310BC4"/>
    <w:rsid w:val="00311013"/>
    <w:rsid w:val="00321F46"/>
    <w:rsid w:val="0032607C"/>
    <w:rsid w:val="00332164"/>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B0258"/>
    <w:rsid w:val="004C39E1"/>
    <w:rsid w:val="004D11FF"/>
    <w:rsid w:val="004D1231"/>
    <w:rsid w:val="004D270A"/>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7C2B"/>
    <w:rsid w:val="007749FB"/>
    <w:rsid w:val="007832C0"/>
    <w:rsid w:val="007A10EF"/>
    <w:rsid w:val="007A5C5E"/>
    <w:rsid w:val="007B54F8"/>
    <w:rsid w:val="007C394C"/>
    <w:rsid w:val="007C4B17"/>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6521"/>
    <w:rsid w:val="008B7CFF"/>
    <w:rsid w:val="008C173D"/>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A00623"/>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5084"/>
    <w:rsid w:val="00B526B3"/>
    <w:rsid w:val="00B70858"/>
    <w:rsid w:val="00BB1C58"/>
    <w:rsid w:val="00BB1C5F"/>
    <w:rsid w:val="00BC6CCD"/>
    <w:rsid w:val="00BD54C6"/>
    <w:rsid w:val="00BD66CD"/>
    <w:rsid w:val="00C03A45"/>
    <w:rsid w:val="00C30025"/>
    <w:rsid w:val="00C43DC2"/>
    <w:rsid w:val="00C50FE6"/>
    <w:rsid w:val="00C51945"/>
    <w:rsid w:val="00C51A52"/>
    <w:rsid w:val="00C610D8"/>
    <w:rsid w:val="00C97839"/>
    <w:rsid w:val="00CA2607"/>
    <w:rsid w:val="00CA7230"/>
    <w:rsid w:val="00CB4041"/>
    <w:rsid w:val="00CB4FA3"/>
    <w:rsid w:val="00CC599C"/>
    <w:rsid w:val="00CD10D3"/>
    <w:rsid w:val="00CD4FB3"/>
    <w:rsid w:val="00CE0470"/>
    <w:rsid w:val="00CF706F"/>
    <w:rsid w:val="00D02409"/>
    <w:rsid w:val="00D02DAF"/>
    <w:rsid w:val="00D1130D"/>
    <w:rsid w:val="00D17A87"/>
    <w:rsid w:val="00D233A2"/>
    <w:rsid w:val="00D33447"/>
    <w:rsid w:val="00D34095"/>
    <w:rsid w:val="00D4073B"/>
    <w:rsid w:val="00D603FA"/>
    <w:rsid w:val="00D6118C"/>
    <w:rsid w:val="00D70DBF"/>
    <w:rsid w:val="00D801CF"/>
    <w:rsid w:val="00DA00B1"/>
    <w:rsid w:val="00DA22FF"/>
    <w:rsid w:val="00DA77BD"/>
    <w:rsid w:val="00DB5457"/>
    <w:rsid w:val="00DB7E85"/>
    <w:rsid w:val="00DC1C84"/>
    <w:rsid w:val="00DD0AC8"/>
    <w:rsid w:val="00DF3C57"/>
    <w:rsid w:val="00E0015C"/>
    <w:rsid w:val="00E06A02"/>
    <w:rsid w:val="00E1572A"/>
    <w:rsid w:val="00E16931"/>
    <w:rsid w:val="00E208FD"/>
    <w:rsid w:val="00E23BD0"/>
    <w:rsid w:val="00E34677"/>
    <w:rsid w:val="00E35E19"/>
    <w:rsid w:val="00E37803"/>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E4E90"/>
    <w:rsid w:val="00EF1694"/>
    <w:rsid w:val="00F07056"/>
    <w:rsid w:val="00F233E8"/>
    <w:rsid w:val="00F32935"/>
    <w:rsid w:val="00F37563"/>
    <w:rsid w:val="00F50DDA"/>
    <w:rsid w:val="00F6311B"/>
    <w:rsid w:val="00F7290B"/>
    <w:rsid w:val="00F7691B"/>
    <w:rsid w:val="00F82F0E"/>
    <w:rsid w:val="00F878E9"/>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D996F8-ADEA-4E90-80B1-B12929EA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al">
    <w:name w:val="normal"/>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lang w:val="x-none" w:eastAsia="x-none"/>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16EF-125B-41AF-98B3-54D8A4D5D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2192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Windows User</cp:lastModifiedBy>
  <cp:revision>2</cp:revision>
  <cp:lastPrinted>2019-12-19T11:19:00Z</cp:lastPrinted>
  <dcterms:created xsi:type="dcterms:W3CDTF">2023-03-14T09:46:00Z</dcterms:created>
  <dcterms:modified xsi:type="dcterms:W3CDTF">2023-03-14T09:46:00Z</dcterms:modified>
</cp:coreProperties>
</file>