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C393B" w14:textId="12CF63AB" w:rsidR="00300D52" w:rsidRDefault="00DA450F" w:rsidP="00300D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Losiná</w:t>
      </w:r>
    </w:p>
    <w:p w14:paraId="023C6215" w14:textId="7E87ADDC" w:rsidR="00300D52" w:rsidRDefault="00300D52" w:rsidP="00300D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DA450F">
        <w:rPr>
          <w:rFonts w:ascii="Arial" w:hAnsi="Arial" w:cs="Arial"/>
          <w:b/>
          <w:sz w:val="24"/>
          <w:szCs w:val="24"/>
        </w:rPr>
        <w:t>obce Losiná</w:t>
      </w:r>
    </w:p>
    <w:p w14:paraId="618B6458" w14:textId="77777777" w:rsidR="00300D52" w:rsidRPr="0062486B" w:rsidRDefault="00300D52" w:rsidP="00300D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B955DF6" w14:textId="1100D7AA" w:rsidR="00300D52" w:rsidRPr="0062486B" w:rsidRDefault="00300D52" w:rsidP="00300D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DA450F">
        <w:rPr>
          <w:rFonts w:ascii="Arial" w:hAnsi="Arial" w:cs="Arial"/>
          <w:b/>
          <w:sz w:val="24"/>
          <w:szCs w:val="24"/>
        </w:rPr>
        <w:t>obce Losiná</w:t>
      </w:r>
    </w:p>
    <w:p w14:paraId="6C42769D" w14:textId="77777777" w:rsidR="00300D52" w:rsidRDefault="00300D52" w:rsidP="00300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koeficientů daně z nemovitých věcí</w:t>
      </w:r>
    </w:p>
    <w:p w14:paraId="4CCD537B" w14:textId="77777777" w:rsidR="00300D52" w:rsidRPr="0062486B" w:rsidRDefault="00300D52" w:rsidP="00300D52">
      <w:pPr>
        <w:spacing w:line="276" w:lineRule="auto"/>
        <w:jc w:val="center"/>
        <w:rPr>
          <w:rFonts w:ascii="Arial" w:hAnsi="Arial" w:cs="Arial"/>
        </w:rPr>
      </w:pPr>
    </w:p>
    <w:p w14:paraId="7C0865A1" w14:textId="168D12BF" w:rsidR="00300D52" w:rsidRDefault="00300D52" w:rsidP="00300D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BD5FA3">
        <w:rPr>
          <w:rFonts w:ascii="Arial" w:hAnsi="Arial" w:cs="Arial"/>
        </w:rPr>
        <w:t>obce Losiná</w:t>
      </w:r>
      <w:r>
        <w:rPr>
          <w:rFonts w:ascii="Arial" w:hAnsi="Arial" w:cs="Arial"/>
        </w:rPr>
        <w:t xml:space="preserve"> se na svém zasedání dne</w:t>
      </w:r>
      <w:r w:rsidR="00216E60">
        <w:rPr>
          <w:rFonts w:ascii="Arial" w:hAnsi="Arial" w:cs="Arial"/>
        </w:rPr>
        <w:t xml:space="preserve"> 27. 6. 2024</w:t>
      </w:r>
      <w:r w:rsidRPr="00851874">
        <w:rPr>
          <w:rFonts w:ascii="Arial" w:hAnsi="Arial" w:cs="Arial"/>
        </w:rPr>
        <w:t xml:space="preserve"> usneslo vydat na základě</w:t>
      </w:r>
      <w:r>
        <w:rPr>
          <w:rFonts w:ascii="Arial" w:hAnsi="Arial" w:cs="Arial"/>
        </w:rPr>
        <w:t xml:space="preserve">  </w:t>
      </w:r>
      <w:r w:rsidRPr="008518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§ </w:t>
      </w:r>
      <w:r w:rsidR="00DA450F">
        <w:rPr>
          <w:rFonts w:ascii="Arial" w:hAnsi="Arial" w:cs="Arial"/>
        </w:rPr>
        <w:t>12 odst. 1 písm. a) bodu 4 z</w:t>
      </w:r>
      <w:r>
        <w:rPr>
          <w:rFonts w:ascii="Arial" w:hAnsi="Arial" w:cs="Arial"/>
        </w:rPr>
        <w:t>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692FCA6C" w14:textId="77777777" w:rsidR="00F41F07" w:rsidRPr="0062486B" w:rsidRDefault="00F41F07" w:rsidP="00300D52">
      <w:pPr>
        <w:spacing w:line="276" w:lineRule="auto"/>
        <w:rPr>
          <w:rFonts w:ascii="Arial" w:hAnsi="Arial" w:cs="Arial"/>
        </w:rPr>
      </w:pPr>
    </w:p>
    <w:p w14:paraId="697571AA" w14:textId="77777777" w:rsidR="00300D52" w:rsidRDefault="00300D52" w:rsidP="00300D52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304FBD5" w14:textId="77777777" w:rsidR="00C34A09" w:rsidRDefault="00C34A09" w:rsidP="00300D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13DF2A6" w14:textId="77777777" w:rsidR="00300D52" w:rsidRDefault="00300D52" w:rsidP="00300D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0927CBC" w14:textId="0041AC12" w:rsidR="00300D52" w:rsidRDefault="00DA450F" w:rsidP="00300D5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Losiná</w:t>
      </w:r>
      <w:r w:rsidR="00300D52" w:rsidRPr="00964558">
        <w:rPr>
          <w:rFonts w:ascii="Arial" w:hAnsi="Arial" w:cs="Arial"/>
          <w:color w:val="00B0F0"/>
        </w:rPr>
        <w:t xml:space="preserve"> </w:t>
      </w:r>
      <w:r w:rsidR="00300D52">
        <w:rPr>
          <w:rFonts w:ascii="Arial" w:hAnsi="Arial" w:cs="Arial"/>
        </w:rPr>
        <w:t xml:space="preserve">stanovuje místní koeficient pro jednotlivé skupiny pozemků dle </w:t>
      </w:r>
      <w:r w:rsidR="00F41F07">
        <w:rPr>
          <w:rFonts w:ascii="Arial" w:hAnsi="Arial" w:cs="Arial"/>
        </w:rPr>
        <w:br/>
      </w:r>
      <w:r w:rsidR="00300D52">
        <w:rPr>
          <w:rFonts w:ascii="Arial" w:hAnsi="Arial" w:cs="Arial"/>
        </w:rPr>
        <w:t>§ 5a odst. 1 zákona o dani z nemovitých věcí, a to</w:t>
      </w:r>
      <w:r w:rsidR="00300D52" w:rsidRPr="00491F73">
        <w:rPr>
          <w:rFonts w:ascii="Arial" w:hAnsi="Arial" w:cs="Arial"/>
        </w:rPr>
        <w:t xml:space="preserve"> v následující výš</w:t>
      </w:r>
      <w:r w:rsidR="00300D52">
        <w:rPr>
          <w:rFonts w:ascii="Arial" w:hAnsi="Arial" w:cs="Arial"/>
        </w:rPr>
        <w:t xml:space="preserve">i: </w:t>
      </w:r>
    </w:p>
    <w:p w14:paraId="5EC7F523" w14:textId="77777777" w:rsidR="00377C46" w:rsidRDefault="00377C46" w:rsidP="00377C4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tbl>
      <w:tblPr>
        <w:tblStyle w:val="Mkatabulky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81"/>
        <w:gridCol w:w="1644"/>
      </w:tblGrid>
      <w:tr w:rsidR="00377C46" w14:paraId="18BCAFD1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38142C70" w14:textId="77777777" w:rsidR="00377C46" w:rsidRDefault="00377C46" w:rsidP="001527ED">
            <w:pPr>
              <w:pStyle w:val="Odstavecseseznamem"/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vybrané zemědělské pozemky</w:t>
            </w:r>
            <w:r w:rsidR="001527ED">
              <w:rPr>
                <w:rFonts w:ascii="Arial" w:hAnsi="Arial" w:cs="Arial"/>
              </w:rPr>
              <w:t xml:space="preserve"> </w:t>
            </w:r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(pozemky orné půdy, chmelnic, vinic, zahrad nebo ovocných sadů)</w:t>
            </w:r>
          </w:p>
        </w:tc>
        <w:tc>
          <w:tcPr>
            <w:tcW w:w="1644" w:type="dxa"/>
            <w:vAlign w:val="center"/>
          </w:tcPr>
          <w:p w14:paraId="78F98DAA" w14:textId="3D09160C" w:rsidR="00377C46" w:rsidRDefault="00377C46" w:rsidP="00377C4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 xml:space="preserve">koeficient </w:t>
            </w:r>
            <w:r w:rsidRPr="001C6861">
              <w:rPr>
                <w:rFonts w:ascii="Arial" w:hAnsi="Arial" w:cs="Arial"/>
                <w:iCs/>
              </w:rPr>
              <w:t>1,</w:t>
            </w:r>
            <w:r w:rsidR="00DA450F">
              <w:rPr>
                <w:rFonts w:ascii="Arial" w:hAnsi="Arial" w:cs="Arial"/>
                <w:iCs/>
              </w:rPr>
              <w:t>0</w:t>
            </w:r>
          </w:p>
        </w:tc>
      </w:tr>
      <w:tr w:rsidR="00377C46" w14:paraId="2A302BC8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19B19E8C" w14:textId="77777777" w:rsidR="00377C46" w:rsidRDefault="00377C46" w:rsidP="001527ED">
            <w:pPr>
              <w:pStyle w:val="Odstavecseseznamem"/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trvalé travní porosty</w:t>
            </w:r>
            <w:r w:rsidR="001527ED">
              <w:rPr>
                <w:rFonts w:ascii="Arial" w:hAnsi="Arial" w:cs="Arial"/>
              </w:rPr>
              <w:t xml:space="preserve"> </w:t>
            </w:r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(pozemky trvalých travních porostů)</w:t>
            </w:r>
          </w:p>
        </w:tc>
        <w:tc>
          <w:tcPr>
            <w:tcW w:w="1644" w:type="dxa"/>
            <w:vAlign w:val="center"/>
          </w:tcPr>
          <w:p w14:paraId="4E1C2E7C" w14:textId="287EFDC9" w:rsidR="00377C46" w:rsidRDefault="00377C46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 xml:space="preserve">koeficient </w:t>
            </w:r>
            <w:r w:rsidRPr="001C6861">
              <w:rPr>
                <w:rFonts w:ascii="Arial" w:hAnsi="Arial" w:cs="Arial"/>
                <w:iCs/>
              </w:rPr>
              <w:t>1,</w:t>
            </w:r>
            <w:r w:rsidR="00DA450F">
              <w:rPr>
                <w:rFonts w:ascii="Arial" w:hAnsi="Arial" w:cs="Arial"/>
                <w:iCs/>
              </w:rPr>
              <w:t>0</w:t>
            </w:r>
          </w:p>
        </w:tc>
      </w:tr>
      <w:tr w:rsidR="00377C46" w14:paraId="00751EB1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150C5E3E" w14:textId="77777777" w:rsidR="00377C46" w:rsidRDefault="00377C46" w:rsidP="001527ED">
            <w:pPr>
              <w:pStyle w:val="Odstavecseseznamem"/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>lesní pozemky</w:t>
            </w:r>
            <w:r w:rsidR="001527ED">
              <w:rPr>
                <w:rFonts w:ascii="Arial" w:hAnsi="Arial" w:cs="Arial"/>
              </w:rPr>
              <w:t xml:space="preserve"> </w:t>
            </w:r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(lesní pozemky)</w:t>
            </w:r>
          </w:p>
        </w:tc>
        <w:tc>
          <w:tcPr>
            <w:tcW w:w="1644" w:type="dxa"/>
            <w:vAlign w:val="center"/>
          </w:tcPr>
          <w:p w14:paraId="1688280C" w14:textId="283A5C10" w:rsidR="00377C46" w:rsidRDefault="00377C46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 xml:space="preserve">koeficient </w:t>
            </w:r>
            <w:r w:rsidRPr="001C6861">
              <w:rPr>
                <w:rFonts w:ascii="Arial" w:hAnsi="Arial" w:cs="Arial"/>
                <w:iCs/>
              </w:rPr>
              <w:t>1,</w:t>
            </w:r>
            <w:r w:rsidR="00DA450F">
              <w:rPr>
                <w:rFonts w:ascii="Arial" w:hAnsi="Arial" w:cs="Arial"/>
                <w:iCs/>
              </w:rPr>
              <w:t>5</w:t>
            </w:r>
          </w:p>
        </w:tc>
      </w:tr>
      <w:tr w:rsidR="00377C46" w14:paraId="31E32C20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282726F9" w14:textId="77777777" w:rsidR="00377C46" w:rsidRDefault="00377C46" w:rsidP="001527ED">
            <w:pPr>
              <w:pStyle w:val="Odstavecseseznamem"/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zemědělské zpevněné plochy pozemku</w:t>
            </w:r>
            <w:r w:rsidR="001527ED">
              <w:rPr>
                <w:rFonts w:ascii="Arial" w:hAnsi="Arial" w:cs="Arial"/>
              </w:rPr>
              <w:t xml:space="preserve"> </w:t>
            </w:r>
            <w:r w:rsidR="001527ED" w:rsidRPr="001527ED">
              <w:rPr>
                <w:rFonts w:ascii="var(--theme-font-family)" w:eastAsia="Times New Roman" w:hAnsi="var(--theme-font-family)" w:cs="Segoe UI"/>
                <w:color w:val="000000"/>
                <w:sz w:val="20"/>
                <w:szCs w:val="20"/>
                <w:lang w:eastAsia="cs-CZ"/>
              </w:rPr>
              <w:t>(zpevněné plochy pozemku užívané k podnikání pro zemědělskou prvovýrobu, lesní hospodářství nebo vodní hospodářství nebo zařazené do obchodního majetku podle zákona upravujícího daně z příjmů, je-li poplatníkem daně podnikatel převážně podnikající v některé z oblastí podnikání podle bodu 1, pokud tyto zpevněné plochy nejsou současně užívány pro jinou oblast podnikání)</w:t>
            </w:r>
          </w:p>
        </w:tc>
        <w:tc>
          <w:tcPr>
            <w:tcW w:w="1644" w:type="dxa"/>
            <w:vAlign w:val="center"/>
          </w:tcPr>
          <w:p w14:paraId="010EDA8E" w14:textId="01BF833E" w:rsidR="00377C46" w:rsidRDefault="00377C46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 xml:space="preserve">koeficient </w:t>
            </w:r>
            <w:r w:rsidRPr="001C6861">
              <w:rPr>
                <w:rFonts w:ascii="Arial" w:hAnsi="Arial" w:cs="Arial"/>
                <w:iCs/>
              </w:rPr>
              <w:t>1,</w:t>
            </w:r>
            <w:r w:rsidR="00DA450F">
              <w:rPr>
                <w:rFonts w:ascii="Arial" w:hAnsi="Arial" w:cs="Arial"/>
                <w:iCs/>
              </w:rPr>
              <w:t>5</w:t>
            </w:r>
          </w:p>
        </w:tc>
      </w:tr>
      <w:tr w:rsidR="00377C46" w14:paraId="4780EEAD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7320A219" w14:textId="77777777" w:rsidR="00377C46" w:rsidRDefault="00377C46" w:rsidP="001527ED">
            <w:pPr>
              <w:pStyle w:val="Odstavecseseznamem"/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ostatní zpevněné plochy pozemku</w:t>
            </w:r>
            <w:r w:rsidR="001527ED">
              <w:rPr>
                <w:rFonts w:ascii="Arial" w:hAnsi="Arial" w:cs="Arial"/>
              </w:rPr>
              <w:t xml:space="preserve"> </w:t>
            </w:r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(zpevněné plochy pozemku jiné než podle </w:t>
            </w:r>
            <w:hyperlink r:id="rId8" w:anchor="L535" w:history="1">
              <w:r w:rsidR="001527ED" w:rsidRPr="001527ED">
                <w:rPr>
                  <w:rFonts w:ascii="Segoe UI" w:hAnsi="Segoe UI" w:cs="Segoe UI"/>
                  <w:color w:val="000000"/>
                  <w:sz w:val="20"/>
                  <w:szCs w:val="20"/>
                  <w:shd w:val="clear" w:color="auto" w:fill="FFFFFF"/>
                </w:rPr>
                <w:t>písm. d)</w:t>
              </w:r>
            </w:hyperlink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44" w:type="dxa"/>
            <w:vAlign w:val="center"/>
          </w:tcPr>
          <w:p w14:paraId="45F79E4E" w14:textId="35153B36" w:rsidR="00377C46" w:rsidRDefault="00377C46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 xml:space="preserve">koeficient </w:t>
            </w:r>
            <w:r w:rsidRPr="001C6861">
              <w:rPr>
                <w:rFonts w:ascii="Arial" w:hAnsi="Arial" w:cs="Arial"/>
                <w:iCs/>
              </w:rPr>
              <w:t>1,</w:t>
            </w:r>
            <w:r w:rsidR="00DA450F">
              <w:rPr>
                <w:rFonts w:ascii="Arial" w:hAnsi="Arial" w:cs="Arial"/>
                <w:iCs/>
              </w:rPr>
              <w:t>5</w:t>
            </w:r>
          </w:p>
        </w:tc>
      </w:tr>
      <w:tr w:rsidR="00377C46" w14:paraId="4675D06C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3851429B" w14:textId="77777777" w:rsidR="00377C46" w:rsidRDefault="00377C46" w:rsidP="001527ED">
            <w:pPr>
              <w:pStyle w:val="Odstavecseseznamem"/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stavební pozemky</w:t>
            </w:r>
            <w:r w:rsidR="001527ED">
              <w:rPr>
                <w:rFonts w:ascii="Arial" w:hAnsi="Arial" w:cs="Arial"/>
              </w:rPr>
              <w:t xml:space="preserve"> </w:t>
            </w:r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(stavební pozemky)</w:t>
            </w:r>
          </w:p>
        </w:tc>
        <w:tc>
          <w:tcPr>
            <w:tcW w:w="1644" w:type="dxa"/>
            <w:vAlign w:val="center"/>
          </w:tcPr>
          <w:p w14:paraId="20751365" w14:textId="6ADFEF83" w:rsidR="00377C46" w:rsidRDefault="00377C46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 xml:space="preserve">koeficient </w:t>
            </w:r>
            <w:r w:rsidRPr="001C6861">
              <w:rPr>
                <w:rFonts w:ascii="Arial" w:hAnsi="Arial" w:cs="Arial"/>
                <w:iCs/>
              </w:rPr>
              <w:t>1,</w:t>
            </w:r>
            <w:r w:rsidR="00DA450F">
              <w:rPr>
                <w:rFonts w:ascii="Arial" w:hAnsi="Arial" w:cs="Arial"/>
                <w:iCs/>
              </w:rPr>
              <w:t>5</w:t>
            </w:r>
          </w:p>
        </w:tc>
      </w:tr>
      <w:tr w:rsidR="00377C46" w14:paraId="7051098C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30C9AB0F" w14:textId="77777777" w:rsidR="00377C46" w:rsidRDefault="00377C46" w:rsidP="00B66EE7">
            <w:pPr>
              <w:pStyle w:val="Odstavecseseznamem"/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nevyužitelné ostatní plochy</w:t>
            </w:r>
            <w:r w:rsidR="001527ED">
              <w:rPr>
                <w:rFonts w:ascii="Arial" w:hAnsi="Arial" w:cs="Arial"/>
              </w:rPr>
              <w:t xml:space="preserve"> </w:t>
            </w:r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(ostatní plochy se způsobem využití neplodná půda, zamokřená plocha, mez, stráň nebo zeleň)</w:t>
            </w:r>
            <w:r w:rsidR="00C34A0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644" w:type="dxa"/>
            <w:vAlign w:val="center"/>
          </w:tcPr>
          <w:p w14:paraId="43B42089" w14:textId="5F234DB1" w:rsidR="00377C46" w:rsidRDefault="00377C46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 xml:space="preserve">koeficient </w:t>
            </w:r>
            <w:r w:rsidRPr="001C6861">
              <w:rPr>
                <w:rFonts w:ascii="Arial" w:hAnsi="Arial" w:cs="Arial"/>
                <w:iCs/>
              </w:rPr>
              <w:t>1,</w:t>
            </w:r>
            <w:r w:rsidR="00DA450F">
              <w:rPr>
                <w:rFonts w:ascii="Arial" w:hAnsi="Arial" w:cs="Arial"/>
                <w:iCs/>
              </w:rPr>
              <w:t>0</w:t>
            </w:r>
          </w:p>
        </w:tc>
      </w:tr>
      <w:tr w:rsidR="00377C46" w14:paraId="52315937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6FE841A2" w14:textId="77777777" w:rsidR="00377C46" w:rsidRDefault="00377C46" w:rsidP="00B66EE7">
            <w:pPr>
              <w:pStyle w:val="Odstavecseseznamem"/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jiné plochy</w:t>
            </w:r>
            <w:r w:rsidR="001527ED">
              <w:rPr>
                <w:rFonts w:ascii="Arial" w:hAnsi="Arial" w:cs="Arial"/>
              </w:rPr>
              <w:t xml:space="preserve"> </w:t>
            </w:r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(ostatní plochy se způsobem využití jiná plocha)</w:t>
            </w:r>
            <w:r w:rsidR="00C34A09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644" w:type="dxa"/>
            <w:vAlign w:val="center"/>
          </w:tcPr>
          <w:p w14:paraId="3C2AD4C5" w14:textId="0FB10DC3" w:rsidR="00377C46" w:rsidRDefault="00377C46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 xml:space="preserve">koeficient </w:t>
            </w:r>
            <w:r w:rsidRPr="001C6861">
              <w:rPr>
                <w:rFonts w:ascii="Arial" w:hAnsi="Arial" w:cs="Arial"/>
                <w:iCs/>
              </w:rPr>
              <w:t>1,</w:t>
            </w:r>
            <w:r w:rsidR="00DA450F">
              <w:rPr>
                <w:rFonts w:ascii="Arial" w:hAnsi="Arial" w:cs="Arial"/>
                <w:iCs/>
              </w:rPr>
              <w:t>5</w:t>
            </w:r>
          </w:p>
        </w:tc>
      </w:tr>
      <w:tr w:rsidR="00377C46" w14:paraId="14FAD10F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4A38700B" w14:textId="77777777" w:rsidR="00377C46" w:rsidRPr="001C6861" w:rsidRDefault="00377C46" w:rsidP="00B66EE7">
            <w:pPr>
              <w:pStyle w:val="Odstavecseseznamem"/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vybrané ostatní plochy</w:t>
            </w:r>
            <w:r w:rsidR="001527ED">
              <w:rPr>
                <w:rFonts w:ascii="Arial" w:hAnsi="Arial" w:cs="Arial"/>
              </w:rPr>
              <w:t xml:space="preserve"> </w:t>
            </w:r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(ostatní plochy jiné než podle </w:t>
            </w:r>
            <w:hyperlink r:id="rId9" w:anchor="L540" w:history="1">
              <w:r w:rsidR="001527ED" w:rsidRPr="001527ED">
                <w:rPr>
                  <w:rFonts w:ascii="Segoe UI" w:hAnsi="Segoe UI" w:cs="Segoe UI"/>
                  <w:color w:val="000000"/>
                  <w:sz w:val="20"/>
                  <w:szCs w:val="20"/>
                  <w:shd w:val="clear" w:color="auto" w:fill="FFFFFF"/>
                </w:rPr>
                <w:t>písm. g)</w:t>
              </w:r>
            </w:hyperlink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 a </w:t>
            </w:r>
            <w:hyperlink r:id="rId10" w:anchor="L541" w:history="1">
              <w:r w:rsidR="001527ED" w:rsidRPr="001527ED">
                <w:rPr>
                  <w:rFonts w:ascii="Segoe UI" w:hAnsi="Segoe UI" w:cs="Segoe UI"/>
                  <w:color w:val="000000"/>
                  <w:sz w:val="20"/>
                  <w:szCs w:val="20"/>
                  <w:shd w:val="clear" w:color="auto" w:fill="FFFFFF"/>
                </w:rPr>
                <w:t>h)</w:t>
              </w:r>
            </w:hyperlink>
            <w:r w:rsidR="001527ED" w:rsidRPr="001527E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44" w:type="dxa"/>
            <w:vAlign w:val="center"/>
          </w:tcPr>
          <w:p w14:paraId="722F2066" w14:textId="6EB2BDB0" w:rsidR="00377C46" w:rsidRDefault="00377C46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 xml:space="preserve">koeficient </w:t>
            </w:r>
            <w:r w:rsidRPr="001C6861">
              <w:rPr>
                <w:rFonts w:ascii="Arial" w:hAnsi="Arial" w:cs="Arial"/>
                <w:iCs/>
              </w:rPr>
              <w:t>1,</w:t>
            </w:r>
            <w:r w:rsidR="00DA450F">
              <w:rPr>
                <w:rFonts w:ascii="Arial" w:hAnsi="Arial" w:cs="Arial"/>
                <w:iCs/>
              </w:rPr>
              <w:t>5</w:t>
            </w:r>
          </w:p>
        </w:tc>
      </w:tr>
      <w:tr w:rsidR="00377C46" w14:paraId="756C288B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7532E46B" w14:textId="77777777" w:rsidR="00377C46" w:rsidRPr="001C6861" w:rsidRDefault="00377C46" w:rsidP="008919FA">
            <w:pPr>
              <w:pStyle w:val="Odstavecseseznamem"/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zastavěné plochy a nádvoří</w:t>
            </w:r>
            <w:r w:rsidR="001527ED">
              <w:rPr>
                <w:rFonts w:ascii="Arial" w:hAnsi="Arial" w:cs="Arial"/>
              </w:rPr>
              <w:t xml:space="preserve"> </w:t>
            </w:r>
            <w:r w:rsidR="008919FA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(z</w:t>
            </w:r>
            <w:r w:rsidR="001527ED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astavěné plochy a nádvoří)</w:t>
            </w:r>
          </w:p>
        </w:tc>
        <w:tc>
          <w:tcPr>
            <w:tcW w:w="1644" w:type="dxa"/>
            <w:vAlign w:val="center"/>
          </w:tcPr>
          <w:p w14:paraId="3C71D103" w14:textId="33881B83" w:rsidR="00377C46" w:rsidRDefault="00377C46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1C6861">
              <w:rPr>
                <w:rFonts w:ascii="Arial" w:hAnsi="Arial" w:cs="Arial"/>
              </w:rPr>
              <w:t xml:space="preserve">koeficient </w:t>
            </w:r>
            <w:r w:rsidRPr="001C6861">
              <w:rPr>
                <w:rFonts w:ascii="Arial" w:hAnsi="Arial" w:cs="Arial"/>
                <w:iCs/>
              </w:rPr>
              <w:t>1,</w:t>
            </w:r>
            <w:r w:rsidR="00DA450F">
              <w:rPr>
                <w:rFonts w:ascii="Arial" w:hAnsi="Arial" w:cs="Arial"/>
                <w:iCs/>
              </w:rPr>
              <w:t>5</w:t>
            </w:r>
          </w:p>
        </w:tc>
      </w:tr>
    </w:tbl>
    <w:p w14:paraId="515C4F23" w14:textId="77777777" w:rsidR="00377C46" w:rsidRDefault="00377C46" w:rsidP="00377C4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D54C841" w14:textId="29D36D3E" w:rsidR="00300D52" w:rsidRDefault="00DA450F" w:rsidP="00300D5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Losiná</w:t>
      </w:r>
      <w:r w:rsidR="001C6861" w:rsidRPr="001C6861">
        <w:rPr>
          <w:rFonts w:ascii="Arial" w:hAnsi="Arial" w:cs="Arial"/>
          <w:color w:val="00B0F0"/>
        </w:rPr>
        <w:t xml:space="preserve"> </w:t>
      </w:r>
      <w:r w:rsidR="001C6861" w:rsidRPr="001C6861">
        <w:rPr>
          <w:rFonts w:ascii="Arial" w:hAnsi="Arial" w:cs="Arial"/>
        </w:rPr>
        <w:t xml:space="preserve">stanovuje </w:t>
      </w:r>
      <w:r w:rsidR="00300D52" w:rsidRPr="001C6861">
        <w:rPr>
          <w:rFonts w:ascii="Arial" w:hAnsi="Arial" w:cs="Arial"/>
        </w:rPr>
        <w:t xml:space="preserve">místní koeficient pro jednotlivé skupiny staveb a jednotek dle § 10a odst. 1 zákona o dani z nemovitých věcí, a to v následující výši: </w:t>
      </w:r>
    </w:p>
    <w:p w14:paraId="18935DF3" w14:textId="77777777" w:rsidR="00377C46" w:rsidRDefault="00377C46" w:rsidP="00377C4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tbl>
      <w:tblPr>
        <w:tblStyle w:val="Mkatabulky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81"/>
        <w:gridCol w:w="1644"/>
      </w:tblGrid>
      <w:tr w:rsidR="00377C46" w14:paraId="558F9B64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6888022D" w14:textId="77777777" w:rsidR="00377C46" w:rsidRPr="00377C46" w:rsidRDefault="00377C46" w:rsidP="008919FA">
            <w:pPr>
              <w:pStyle w:val="Odstavecseseznamem"/>
              <w:numPr>
                <w:ilvl w:val="0"/>
                <w:numId w:val="14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obytné budovy</w:t>
            </w:r>
            <w:r w:rsidR="00EB7DF8">
              <w:rPr>
                <w:rFonts w:ascii="Arial" w:hAnsi="Arial" w:cs="Arial"/>
              </w:rPr>
              <w:t xml:space="preserve"> </w:t>
            </w:r>
            <w:r w:rsidR="008919FA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(b</w:t>
            </w:r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udovy obytných domů a ostatní budovy s výjimkou budovy garáže, pokud tyto ostatní budovy </w:t>
            </w:r>
            <w:proofErr w:type="gramStart"/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tvoří</w:t>
            </w:r>
            <w:proofErr w:type="gramEnd"/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příslušenství k budově obytného domu)</w:t>
            </w:r>
          </w:p>
        </w:tc>
        <w:tc>
          <w:tcPr>
            <w:tcW w:w="1644" w:type="dxa"/>
            <w:vAlign w:val="center"/>
          </w:tcPr>
          <w:p w14:paraId="44C85C74" w14:textId="7AE62646" w:rsidR="00377C46" w:rsidRDefault="00377C46" w:rsidP="00377C4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1C6861">
              <w:rPr>
                <w:rFonts w:ascii="Arial" w:hAnsi="Arial" w:cs="Arial"/>
              </w:rPr>
              <w:t>oeficient</w:t>
            </w:r>
            <w:r>
              <w:rPr>
                <w:rFonts w:ascii="Arial" w:hAnsi="Arial" w:cs="Arial"/>
              </w:rPr>
              <w:t xml:space="preserve"> 1,</w:t>
            </w:r>
            <w:r w:rsidR="00DA450F">
              <w:rPr>
                <w:rFonts w:ascii="Arial" w:hAnsi="Arial" w:cs="Arial"/>
              </w:rPr>
              <w:t>5</w:t>
            </w:r>
          </w:p>
        </w:tc>
      </w:tr>
      <w:tr w:rsidR="00377C46" w14:paraId="4B03F970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01492F96" w14:textId="77777777" w:rsidR="00377C46" w:rsidRPr="00377C46" w:rsidRDefault="00377C46" w:rsidP="00B66EE7">
            <w:pPr>
              <w:pStyle w:val="Odstavecseseznamem"/>
              <w:numPr>
                <w:ilvl w:val="0"/>
                <w:numId w:val="14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rekreační budovy</w:t>
            </w:r>
            <w:r w:rsidR="00EB7DF8">
              <w:rPr>
                <w:rFonts w:ascii="Arial" w:hAnsi="Arial" w:cs="Arial"/>
              </w:rPr>
              <w:t xml:space="preserve"> </w:t>
            </w:r>
            <w:r w:rsidR="008919FA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(b</w:t>
            </w:r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udovy pro rodinnou rekreaci a budovy s výjimkou budovy garáže, které plní doplňkovou funkci k rekreačním budovám)</w:t>
            </w:r>
          </w:p>
        </w:tc>
        <w:tc>
          <w:tcPr>
            <w:tcW w:w="1644" w:type="dxa"/>
            <w:vAlign w:val="center"/>
          </w:tcPr>
          <w:p w14:paraId="6FB34250" w14:textId="78762D6B" w:rsidR="00377C46" w:rsidRPr="00B66EE7" w:rsidRDefault="00377C46" w:rsidP="00C34A09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B66EE7">
              <w:rPr>
                <w:rFonts w:ascii="Arial" w:hAnsi="Arial" w:cs="Arial"/>
              </w:rPr>
              <w:t xml:space="preserve">koeficient </w:t>
            </w:r>
            <w:r w:rsidR="00DA450F">
              <w:rPr>
                <w:rFonts w:ascii="Arial" w:hAnsi="Arial" w:cs="Arial"/>
              </w:rPr>
              <w:t>2,3</w:t>
            </w:r>
          </w:p>
        </w:tc>
      </w:tr>
      <w:tr w:rsidR="00377C46" w14:paraId="197AF8F9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72852529" w14:textId="77777777" w:rsidR="00377C46" w:rsidRPr="00377C46" w:rsidRDefault="00377C46" w:rsidP="00B66EE7">
            <w:pPr>
              <w:pStyle w:val="Odstavecseseznamem"/>
              <w:numPr>
                <w:ilvl w:val="0"/>
                <w:numId w:val="14"/>
              </w:numPr>
              <w:tabs>
                <w:tab w:val="left" w:pos="1134"/>
              </w:tabs>
              <w:spacing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garáže</w:t>
            </w:r>
            <w:r w:rsidR="00EB7DF8">
              <w:rPr>
                <w:rFonts w:ascii="Arial" w:hAnsi="Arial" w:cs="Arial"/>
              </w:rPr>
              <w:t xml:space="preserve"> </w:t>
            </w:r>
            <w:r w:rsidR="008919FA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(b</w:t>
            </w:r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udovy garáže a zdanitelné jednotky, jejichž převažující část podlahové plochy je užívána jako garáž)</w:t>
            </w:r>
            <w:r w:rsidR="00C34A0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1644" w:type="dxa"/>
            <w:vAlign w:val="center"/>
          </w:tcPr>
          <w:p w14:paraId="78EF902D" w14:textId="2B1F62C9" w:rsidR="00377C46" w:rsidRPr="00B66EE7" w:rsidRDefault="00377C46" w:rsidP="00C34A09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B66EE7">
              <w:rPr>
                <w:rFonts w:ascii="Arial" w:hAnsi="Arial" w:cs="Arial"/>
              </w:rPr>
              <w:t>koeficient 1,</w:t>
            </w:r>
            <w:r w:rsidR="00DA450F">
              <w:rPr>
                <w:rFonts w:ascii="Arial" w:hAnsi="Arial" w:cs="Arial"/>
              </w:rPr>
              <w:t>5</w:t>
            </w:r>
          </w:p>
        </w:tc>
      </w:tr>
      <w:tr w:rsidR="00377C46" w14:paraId="4B95DBD9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1DAE2E38" w14:textId="77777777" w:rsidR="00377C46" w:rsidRPr="00377C46" w:rsidRDefault="00377C46" w:rsidP="00B66EE7">
            <w:pPr>
              <w:pStyle w:val="Odstavecseseznamem"/>
              <w:numPr>
                <w:ilvl w:val="0"/>
                <w:numId w:val="14"/>
              </w:numPr>
              <w:tabs>
                <w:tab w:val="left" w:pos="1134"/>
              </w:tabs>
              <w:spacing w:after="0"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zdanitelné stavby a zdanitelné jednotky pro podnikání v zemědělské prvovýrobě, lesním nebo vodním hospodářství</w:t>
            </w:r>
            <w:r w:rsidR="00EB7DF8">
              <w:rPr>
                <w:rFonts w:ascii="Arial" w:hAnsi="Arial" w:cs="Arial"/>
              </w:rPr>
              <w:t xml:space="preserve"> </w:t>
            </w:r>
            <w:r w:rsidR="008919FA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(z</w:t>
            </w:r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danitelné jednotky, jejichž převažující část podlahové plochy nadzemní části zdanitelné stavby nebo, nemá-li podlahovou plochu, zastavěné plochy zdanitelné stavby nebo podlahové plochy zdanitelné jednotky je užívána k podnikání v zemědělské prvovýrobě, lesním nebo vodním hospodářství</w:t>
            </w:r>
          </w:p>
        </w:tc>
        <w:tc>
          <w:tcPr>
            <w:tcW w:w="1644" w:type="dxa"/>
            <w:vAlign w:val="center"/>
          </w:tcPr>
          <w:p w14:paraId="3E2FD1F1" w14:textId="08907238" w:rsidR="00377C46" w:rsidRPr="00B66EE7" w:rsidRDefault="00544440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B66EE7">
              <w:rPr>
                <w:rFonts w:ascii="Arial" w:hAnsi="Arial" w:cs="Arial"/>
              </w:rPr>
              <w:t xml:space="preserve">koeficient </w:t>
            </w:r>
            <w:r w:rsidR="00DA450F">
              <w:rPr>
                <w:rFonts w:ascii="Arial" w:hAnsi="Arial" w:cs="Arial"/>
              </w:rPr>
              <w:t>2,3</w:t>
            </w:r>
          </w:p>
        </w:tc>
      </w:tr>
      <w:tr w:rsidR="00377C46" w14:paraId="60F91A70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4F1FF0BE" w14:textId="77777777" w:rsidR="00377C46" w:rsidRPr="00377C46" w:rsidRDefault="00377C46" w:rsidP="00B66EE7">
            <w:pPr>
              <w:pStyle w:val="Odstavecseseznamem"/>
              <w:numPr>
                <w:ilvl w:val="0"/>
                <w:numId w:val="14"/>
              </w:numPr>
              <w:tabs>
                <w:tab w:val="left" w:pos="1134"/>
              </w:tabs>
              <w:spacing w:after="0"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zdanitelné stavby a zdanitelné jednotky pro podnikání v průmyslu, stavebnictví, dopravě, energetice nebo ostatní zemědělské výrobě</w:t>
            </w:r>
            <w:r w:rsidR="00EB7DF8">
              <w:rPr>
                <w:rFonts w:ascii="Arial" w:hAnsi="Arial" w:cs="Arial"/>
              </w:rPr>
              <w:t xml:space="preserve"> </w:t>
            </w:r>
            <w:r w:rsidR="008919FA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(z</w:t>
            </w:r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danitelné stavby a zdanitelné jednotky, jejichž převažující část podlahové plochy nadzemní části zdanitelné stavby nebo, nemá-li podlahovou plochu, zastavěné plochy zdanitelné stavby nebo podlahové plochy zdanitelné jednotky je užívána k podnikání v průmyslu, stavebnictví, dopravě, energetice nebo ostatní zemědělské výrobě)</w:t>
            </w:r>
            <w:r w:rsidR="00C34A0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1644" w:type="dxa"/>
            <w:vAlign w:val="center"/>
          </w:tcPr>
          <w:p w14:paraId="17638BDB" w14:textId="0490B419" w:rsidR="00377C46" w:rsidRPr="00B66EE7" w:rsidRDefault="00544440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B66EE7">
              <w:rPr>
                <w:rFonts w:ascii="Arial" w:hAnsi="Arial" w:cs="Arial"/>
              </w:rPr>
              <w:t xml:space="preserve">koeficient </w:t>
            </w:r>
            <w:r w:rsidR="00DA450F">
              <w:rPr>
                <w:rFonts w:ascii="Arial" w:hAnsi="Arial" w:cs="Arial"/>
              </w:rPr>
              <w:t>2,3</w:t>
            </w:r>
          </w:p>
        </w:tc>
      </w:tr>
      <w:tr w:rsidR="00B66EE7" w:rsidRPr="00B66EE7" w14:paraId="5FBE0467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4F781846" w14:textId="77777777" w:rsidR="00377C46" w:rsidRPr="00377C46" w:rsidRDefault="00377C46" w:rsidP="00B66EE7">
            <w:pPr>
              <w:pStyle w:val="Odstavecseseznamem"/>
              <w:numPr>
                <w:ilvl w:val="0"/>
                <w:numId w:val="14"/>
              </w:numPr>
              <w:tabs>
                <w:tab w:val="left" w:pos="1134"/>
              </w:tabs>
              <w:spacing w:after="0" w:line="276" w:lineRule="auto"/>
              <w:contextualSpacing w:val="0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zdanitelné stavby a zdanitelné jednotky pro ostatní druhy podnikání</w:t>
            </w:r>
            <w:r w:rsidR="00EB7DF8">
              <w:rPr>
                <w:rFonts w:ascii="Arial" w:hAnsi="Arial" w:cs="Arial"/>
              </w:rPr>
              <w:t xml:space="preserve"> </w:t>
            </w:r>
            <w:r w:rsidR="008919FA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(z</w:t>
            </w:r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danitelné stavby a zdanitelné jednotky, jejichž převažující část podlahové plochy nadzemní části zdanitelné stavby nebo, nemá-li podlahovou plochu, zastavěné plochy zdanitelné stavby nebo podlahové plochy zdanitelné jednotky je užívána k podnikání v jiném druhu podnikání než podle </w:t>
            </w:r>
            <w:hyperlink r:id="rId11" w:anchor="L613" w:history="1">
              <w:r w:rsidR="00EB7DF8" w:rsidRPr="008919FA">
                <w:rPr>
                  <w:rFonts w:ascii="Segoe UI" w:hAnsi="Segoe UI" w:cs="Segoe UI"/>
                  <w:color w:val="000000"/>
                  <w:sz w:val="20"/>
                  <w:szCs w:val="20"/>
                  <w:shd w:val="clear" w:color="auto" w:fill="FFFFFF"/>
                </w:rPr>
                <w:t>písm. d)</w:t>
              </w:r>
            </w:hyperlink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 a </w:t>
            </w:r>
            <w:hyperlink r:id="rId12" w:anchor="L614" w:history="1">
              <w:r w:rsidR="00EB7DF8" w:rsidRPr="008919FA">
                <w:rPr>
                  <w:rFonts w:ascii="Segoe UI" w:hAnsi="Segoe UI" w:cs="Segoe UI"/>
                  <w:color w:val="000000"/>
                  <w:sz w:val="20"/>
                  <w:szCs w:val="20"/>
                  <w:shd w:val="clear" w:color="auto" w:fill="FFFFFF"/>
                </w:rPr>
                <w:t>e)</w:t>
              </w:r>
            </w:hyperlink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C34A09">
              <w:t xml:space="preserve">      </w:t>
            </w:r>
          </w:p>
        </w:tc>
        <w:tc>
          <w:tcPr>
            <w:tcW w:w="1644" w:type="dxa"/>
            <w:vAlign w:val="center"/>
          </w:tcPr>
          <w:p w14:paraId="4D480A3F" w14:textId="19D1A0DB" w:rsidR="00377C46" w:rsidRPr="00B66EE7" w:rsidRDefault="00544440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B66EE7">
              <w:rPr>
                <w:rFonts w:ascii="Arial" w:hAnsi="Arial" w:cs="Arial"/>
              </w:rPr>
              <w:t xml:space="preserve">koeficient </w:t>
            </w:r>
            <w:r w:rsidR="00DA450F">
              <w:rPr>
                <w:rFonts w:ascii="Arial" w:hAnsi="Arial" w:cs="Arial"/>
              </w:rPr>
              <w:t>2,3</w:t>
            </w:r>
          </w:p>
        </w:tc>
      </w:tr>
      <w:tr w:rsidR="00B66EE7" w:rsidRPr="00B66EE7" w14:paraId="7D552B4E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17BBC461" w14:textId="77777777" w:rsidR="00377C46" w:rsidRPr="00377C46" w:rsidRDefault="00377C46" w:rsidP="008919FA">
            <w:pPr>
              <w:pStyle w:val="Odstavecseseznamem"/>
              <w:numPr>
                <w:ilvl w:val="0"/>
                <w:numId w:val="14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ostatní zdanitelné stavby</w:t>
            </w:r>
            <w:r w:rsidR="00EB7DF8">
              <w:rPr>
                <w:rFonts w:ascii="Arial" w:hAnsi="Arial" w:cs="Arial"/>
              </w:rPr>
              <w:t xml:space="preserve"> </w:t>
            </w:r>
            <w:r w:rsidR="008919FA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(z</w:t>
            </w:r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danitelné stavby jiné než podle písm. </w:t>
            </w:r>
            <w:hyperlink r:id="rId13" w:anchor="L610" w:history="1">
              <w:r w:rsidR="00EB7DF8" w:rsidRPr="008919FA">
                <w:rPr>
                  <w:color w:val="000000"/>
                </w:rPr>
                <w:t>a)</w:t>
              </w:r>
            </w:hyperlink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 až </w:t>
            </w:r>
            <w:hyperlink r:id="rId14" w:anchor="L615" w:history="1">
              <w:r w:rsidR="00EB7DF8" w:rsidRPr="008919FA">
                <w:rPr>
                  <w:color w:val="000000"/>
                </w:rPr>
                <w:t>f)</w:t>
              </w:r>
            </w:hyperlink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44" w:type="dxa"/>
            <w:vAlign w:val="center"/>
          </w:tcPr>
          <w:p w14:paraId="1969725D" w14:textId="29396BD5" w:rsidR="00377C46" w:rsidRPr="00B66EE7" w:rsidRDefault="00544440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B66EE7">
              <w:rPr>
                <w:rFonts w:ascii="Arial" w:hAnsi="Arial" w:cs="Arial"/>
              </w:rPr>
              <w:t>koeficient 1,</w:t>
            </w:r>
            <w:r w:rsidR="00DA450F">
              <w:rPr>
                <w:rFonts w:ascii="Arial" w:hAnsi="Arial" w:cs="Arial"/>
              </w:rPr>
              <w:t>5</w:t>
            </w:r>
          </w:p>
        </w:tc>
      </w:tr>
      <w:tr w:rsidR="00377C46" w14:paraId="77F85716" w14:textId="77777777" w:rsidTr="0070161C">
        <w:trPr>
          <w:trHeight w:val="567"/>
        </w:trPr>
        <w:tc>
          <w:tcPr>
            <w:tcW w:w="7281" w:type="dxa"/>
            <w:vAlign w:val="center"/>
          </w:tcPr>
          <w:p w14:paraId="476B4127" w14:textId="77777777" w:rsidR="00377C46" w:rsidRPr="001C6861" w:rsidRDefault="00377C46" w:rsidP="008919FA">
            <w:pPr>
              <w:pStyle w:val="Odstavecseseznamem"/>
              <w:numPr>
                <w:ilvl w:val="0"/>
                <w:numId w:val="14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</w:rPr>
            </w:pPr>
            <w:r w:rsidRPr="00F1180C">
              <w:rPr>
                <w:rFonts w:ascii="Arial" w:hAnsi="Arial" w:cs="Arial"/>
                <w:b/>
              </w:rPr>
              <w:t>ostatní zdanitelné jednotky</w:t>
            </w:r>
            <w:r w:rsidR="00EB7DF8">
              <w:rPr>
                <w:rFonts w:ascii="Arial" w:hAnsi="Arial" w:cs="Arial"/>
              </w:rPr>
              <w:t xml:space="preserve"> </w:t>
            </w:r>
            <w:r w:rsidR="008919FA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(zd</w:t>
            </w:r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anitelné jednotky jiné než podle </w:t>
            </w:r>
            <w:hyperlink r:id="rId15" w:anchor="L612" w:history="1">
              <w:r w:rsidR="00EB7DF8" w:rsidRPr="008919FA">
                <w:rPr>
                  <w:color w:val="000000"/>
                </w:rPr>
                <w:t>písmen c)</w:t>
              </w:r>
            </w:hyperlink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 až </w:t>
            </w:r>
            <w:hyperlink r:id="rId16" w:anchor="L615" w:history="1">
              <w:r w:rsidR="00EB7DF8" w:rsidRPr="008919FA">
                <w:rPr>
                  <w:color w:val="000000"/>
                </w:rPr>
                <w:t>f)</w:t>
              </w:r>
            </w:hyperlink>
            <w:r w:rsidR="00EB7DF8" w:rsidRPr="008919FA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B66EE7">
              <w:t xml:space="preserve"> </w:t>
            </w:r>
          </w:p>
        </w:tc>
        <w:tc>
          <w:tcPr>
            <w:tcW w:w="1644" w:type="dxa"/>
            <w:vAlign w:val="center"/>
          </w:tcPr>
          <w:p w14:paraId="78AF4BB5" w14:textId="36D30835" w:rsidR="00377C46" w:rsidRDefault="00544440" w:rsidP="00C03216">
            <w:pPr>
              <w:pStyle w:val="Odstavecseseznamem"/>
              <w:tabs>
                <w:tab w:val="left" w:pos="1134"/>
              </w:tabs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1C6861">
              <w:rPr>
                <w:rFonts w:ascii="Arial" w:hAnsi="Arial" w:cs="Arial"/>
              </w:rPr>
              <w:t>oeficient</w:t>
            </w:r>
            <w:r>
              <w:rPr>
                <w:rFonts w:ascii="Arial" w:hAnsi="Arial" w:cs="Arial"/>
              </w:rPr>
              <w:t xml:space="preserve"> 1,</w:t>
            </w:r>
            <w:r w:rsidR="00DA450F">
              <w:rPr>
                <w:rFonts w:ascii="Arial" w:hAnsi="Arial" w:cs="Arial"/>
              </w:rPr>
              <w:t>5</w:t>
            </w:r>
          </w:p>
        </w:tc>
      </w:tr>
    </w:tbl>
    <w:p w14:paraId="0D31DC69" w14:textId="77777777" w:rsidR="00377C46" w:rsidRDefault="00377C46" w:rsidP="00377C4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4CE14D89" w14:textId="227C0017" w:rsidR="00300D52" w:rsidRDefault="00300D52" w:rsidP="00300D5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DA450F">
        <w:rPr>
          <w:rFonts w:ascii="Arial" w:hAnsi="Arial" w:cs="Arial"/>
        </w:rPr>
        <w:t xml:space="preserve"> obce.</w:t>
      </w:r>
      <w:r>
        <w:rPr>
          <w:rStyle w:val="Znakapoznpodarou"/>
          <w:rFonts w:ascii="Arial" w:hAnsi="Arial" w:cs="Arial"/>
        </w:rPr>
        <w:footnoteReference w:id="1"/>
      </w:r>
    </w:p>
    <w:p w14:paraId="0E551C46" w14:textId="7E6C5782" w:rsidR="00300D52" w:rsidRPr="005F7FAE" w:rsidRDefault="00300D52" w:rsidP="00300D5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</w:t>
      </w:r>
      <w:r w:rsidR="00DA450F">
        <w:rPr>
          <w:rFonts w:ascii="Arial" w:hAnsi="Arial" w:cs="Arial"/>
          <w:b/>
        </w:rPr>
        <w:t>2</w:t>
      </w:r>
    </w:p>
    <w:p w14:paraId="722A57A8" w14:textId="77777777" w:rsidR="00300D52" w:rsidRPr="005F7FAE" w:rsidRDefault="00300D52" w:rsidP="00300D5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D71CB01" w14:textId="5F7F1003" w:rsidR="00300D52" w:rsidRPr="0062486B" w:rsidRDefault="00300D52" w:rsidP="00D91008">
      <w:pPr>
        <w:spacing w:line="240" w:lineRule="atLeas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bookmarkStart w:id="0" w:name="_Hlk170364562"/>
      <w:r w:rsidR="00D91008" w:rsidRPr="00D91008">
        <w:rPr>
          <w:rFonts w:ascii="Arial" w:hAnsi="Arial" w:cs="Arial"/>
        </w:rPr>
        <w:t>Obecně závazná vyhláška č. 1/2008, o stanovení koeficientu pro výpočet daně z</w:t>
      </w:r>
      <w:r w:rsidR="00D91008">
        <w:rPr>
          <w:rFonts w:ascii="Arial" w:hAnsi="Arial" w:cs="Arial"/>
        </w:rPr>
        <w:t> </w:t>
      </w:r>
      <w:r w:rsidR="00D91008" w:rsidRPr="00D91008">
        <w:rPr>
          <w:rFonts w:ascii="Arial" w:hAnsi="Arial" w:cs="Arial"/>
        </w:rPr>
        <w:t>nemovitostí</w:t>
      </w:r>
      <w:r w:rsidR="00D91008">
        <w:rPr>
          <w:rFonts w:ascii="Arial" w:hAnsi="Arial" w:cs="Arial"/>
        </w:rPr>
        <w:t xml:space="preserve"> ze dne 15. 7. 2008,</w:t>
      </w:r>
      <w:r w:rsidR="00216E60">
        <w:rPr>
          <w:rFonts w:ascii="Arial" w:hAnsi="Arial" w:cs="Arial"/>
        </w:rPr>
        <w:t xml:space="preserve"> ve znění</w:t>
      </w:r>
      <w:r w:rsidR="00D91008">
        <w:rPr>
          <w:rFonts w:ascii="Arial" w:hAnsi="Arial" w:cs="Arial"/>
        </w:rPr>
        <w:t xml:space="preserve"> </w:t>
      </w:r>
      <w:r w:rsidR="00216E60">
        <w:rPr>
          <w:rFonts w:ascii="Arial" w:hAnsi="Arial" w:cs="Arial"/>
        </w:rPr>
        <w:t>O</w:t>
      </w:r>
      <w:r w:rsidR="00D91008" w:rsidRPr="0062486B">
        <w:rPr>
          <w:rFonts w:ascii="Arial" w:hAnsi="Arial" w:cs="Arial"/>
        </w:rPr>
        <w:t>becně závazn</w:t>
      </w:r>
      <w:r w:rsidR="00216E60">
        <w:rPr>
          <w:rFonts w:ascii="Arial" w:hAnsi="Arial" w:cs="Arial"/>
        </w:rPr>
        <w:t>é</w:t>
      </w:r>
      <w:r w:rsidR="00D91008" w:rsidRPr="0062486B">
        <w:rPr>
          <w:rFonts w:ascii="Arial" w:hAnsi="Arial" w:cs="Arial"/>
        </w:rPr>
        <w:t xml:space="preserve"> vyhlášk</w:t>
      </w:r>
      <w:r w:rsidR="00216E60">
        <w:rPr>
          <w:rFonts w:ascii="Arial" w:hAnsi="Arial" w:cs="Arial"/>
        </w:rPr>
        <w:t>y</w:t>
      </w:r>
      <w:r w:rsidR="00D91008" w:rsidRPr="0062486B">
        <w:rPr>
          <w:rFonts w:ascii="Arial" w:hAnsi="Arial" w:cs="Arial"/>
        </w:rPr>
        <w:t xml:space="preserve"> </w:t>
      </w:r>
      <w:r w:rsidR="00D91008">
        <w:rPr>
          <w:rFonts w:ascii="Arial" w:hAnsi="Arial" w:cs="Arial"/>
        </w:rPr>
        <w:t xml:space="preserve">obce Losiná </w:t>
      </w:r>
      <w:r w:rsidR="00DA450F">
        <w:rPr>
          <w:rFonts w:ascii="Arial" w:hAnsi="Arial" w:cs="Arial"/>
        </w:rPr>
        <w:t>č. 1/2009, ze dne 2</w:t>
      </w:r>
      <w:r w:rsidR="00901636">
        <w:rPr>
          <w:rFonts w:ascii="Arial" w:hAnsi="Arial" w:cs="Arial"/>
        </w:rPr>
        <w:t>5</w:t>
      </w:r>
      <w:r w:rsidR="00DA450F">
        <w:rPr>
          <w:rFonts w:ascii="Arial" w:hAnsi="Arial" w:cs="Arial"/>
        </w:rPr>
        <w:t xml:space="preserve">.11.2009 a </w:t>
      </w:r>
      <w:r w:rsidR="00A7139C">
        <w:rPr>
          <w:rFonts w:ascii="Arial" w:hAnsi="Arial" w:cs="Arial"/>
        </w:rPr>
        <w:t>O</w:t>
      </w:r>
      <w:r w:rsidR="00DA450F">
        <w:rPr>
          <w:rFonts w:ascii="Arial" w:hAnsi="Arial" w:cs="Arial"/>
        </w:rPr>
        <w:t xml:space="preserve">becně závazná vyhláška č. 1/2022 o stanovení místního koeficientu pro výpočet daně z nemovitých věcí ze dne </w:t>
      </w:r>
      <w:r w:rsidR="00901636">
        <w:rPr>
          <w:rFonts w:ascii="Arial" w:hAnsi="Arial" w:cs="Arial"/>
        </w:rPr>
        <w:t>14</w:t>
      </w:r>
      <w:r w:rsidR="00F169DE">
        <w:rPr>
          <w:rFonts w:ascii="Arial" w:hAnsi="Arial" w:cs="Arial"/>
        </w:rPr>
        <w:t>.</w:t>
      </w:r>
      <w:r w:rsidR="0070161C">
        <w:rPr>
          <w:rFonts w:ascii="Arial" w:hAnsi="Arial" w:cs="Arial"/>
        </w:rPr>
        <w:t xml:space="preserve"> </w:t>
      </w:r>
      <w:r w:rsidR="00F169DE">
        <w:rPr>
          <w:rFonts w:ascii="Arial" w:hAnsi="Arial" w:cs="Arial"/>
        </w:rPr>
        <w:t>6.</w:t>
      </w:r>
      <w:r w:rsidR="0070161C">
        <w:rPr>
          <w:rFonts w:ascii="Arial" w:hAnsi="Arial" w:cs="Arial"/>
        </w:rPr>
        <w:t xml:space="preserve"> </w:t>
      </w:r>
      <w:r w:rsidR="00F169DE">
        <w:rPr>
          <w:rFonts w:ascii="Arial" w:hAnsi="Arial" w:cs="Arial"/>
        </w:rPr>
        <w:t>2022</w:t>
      </w:r>
      <w:r w:rsidR="001C6861">
        <w:rPr>
          <w:rFonts w:ascii="Arial" w:hAnsi="Arial" w:cs="Arial"/>
        </w:rPr>
        <w:t>.</w:t>
      </w:r>
      <w:bookmarkEnd w:id="0"/>
    </w:p>
    <w:p w14:paraId="7185D2AE" w14:textId="77777777" w:rsidR="00300D52" w:rsidRPr="0062486B" w:rsidRDefault="00300D52" w:rsidP="00300D52">
      <w:pPr>
        <w:spacing w:line="276" w:lineRule="auto"/>
        <w:rPr>
          <w:rFonts w:ascii="Arial" w:hAnsi="Arial" w:cs="Arial"/>
        </w:rPr>
      </w:pPr>
    </w:p>
    <w:p w14:paraId="35F05DF0" w14:textId="4A5D755D" w:rsidR="00300D52" w:rsidRDefault="001708E9" w:rsidP="00300D5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A450F">
        <w:rPr>
          <w:rFonts w:ascii="Arial" w:hAnsi="Arial" w:cs="Arial"/>
          <w:b/>
        </w:rPr>
        <w:t>3</w:t>
      </w:r>
    </w:p>
    <w:p w14:paraId="61509C6C" w14:textId="77777777" w:rsidR="00300D52" w:rsidRDefault="00300D52" w:rsidP="00300D5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C8DCC13" w14:textId="77777777" w:rsidR="00300D52" w:rsidRDefault="00300D52" w:rsidP="00300D5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1C6861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6DAE3E0" w14:textId="77777777" w:rsidR="00300D52" w:rsidRDefault="00300D52" w:rsidP="00300D52">
      <w:pPr>
        <w:spacing w:line="276" w:lineRule="auto"/>
        <w:rPr>
          <w:rFonts w:ascii="Arial" w:hAnsi="Arial" w:cs="Arial"/>
        </w:rPr>
      </w:pPr>
    </w:p>
    <w:p w14:paraId="6664BC4C" w14:textId="77777777" w:rsidR="00C81593" w:rsidRDefault="00C81593" w:rsidP="00300D52">
      <w:pPr>
        <w:spacing w:line="276" w:lineRule="auto"/>
        <w:rPr>
          <w:rFonts w:ascii="Arial" w:hAnsi="Arial" w:cs="Arial"/>
        </w:rPr>
      </w:pPr>
    </w:p>
    <w:p w14:paraId="7E721597" w14:textId="77777777" w:rsidR="00015189" w:rsidRDefault="00015189" w:rsidP="00300D52">
      <w:pPr>
        <w:spacing w:line="276" w:lineRule="auto"/>
        <w:rPr>
          <w:rFonts w:ascii="Arial" w:hAnsi="Arial" w:cs="Arial"/>
        </w:rPr>
      </w:pPr>
    </w:p>
    <w:p w14:paraId="6BE057DE" w14:textId="77777777" w:rsidR="00015189" w:rsidRDefault="00015189" w:rsidP="00300D52">
      <w:pPr>
        <w:spacing w:line="276" w:lineRule="auto"/>
        <w:rPr>
          <w:rFonts w:ascii="Arial" w:hAnsi="Arial" w:cs="Arial"/>
        </w:rPr>
      </w:pPr>
    </w:p>
    <w:p w14:paraId="13B8D3DC" w14:textId="77777777" w:rsidR="00015189" w:rsidRDefault="00015189" w:rsidP="00300D52">
      <w:pPr>
        <w:spacing w:line="276" w:lineRule="auto"/>
        <w:rPr>
          <w:rFonts w:ascii="Arial" w:hAnsi="Arial" w:cs="Arial"/>
        </w:rPr>
      </w:pPr>
    </w:p>
    <w:p w14:paraId="2F1DA707" w14:textId="77777777" w:rsidR="0070161C" w:rsidRDefault="0070161C" w:rsidP="00300D52">
      <w:pPr>
        <w:spacing w:line="276" w:lineRule="auto"/>
        <w:rPr>
          <w:rFonts w:ascii="Arial" w:hAnsi="Arial" w:cs="Arial"/>
        </w:rPr>
      </w:pPr>
    </w:p>
    <w:p w14:paraId="4198AB17" w14:textId="77777777" w:rsidR="008A35E9" w:rsidRPr="0062486B" w:rsidRDefault="001C6861" w:rsidP="008A35E9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 w:rsidRPr="0062486B">
        <w:rPr>
          <w:rFonts w:ascii="Arial" w:hAnsi="Arial" w:cs="Arial"/>
        </w:rPr>
        <w:t>………………………………</w:t>
      </w:r>
    </w:p>
    <w:p w14:paraId="18E87862" w14:textId="4E9697A2" w:rsidR="001C6861" w:rsidRPr="0062486B" w:rsidRDefault="00DA450F" w:rsidP="00015189">
      <w:pPr>
        <w:keepNext/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Alena Beránková</w:t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>
        <w:rPr>
          <w:rFonts w:ascii="Arial" w:hAnsi="Arial" w:cs="Arial"/>
        </w:rPr>
        <w:t>Miloš Černý</w:t>
      </w:r>
    </w:p>
    <w:p w14:paraId="402B6DE3" w14:textId="66F20AC5" w:rsidR="00E77F01" w:rsidRDefault="00015189" w:rsidP="002C571F">
      <w:pPr>
        <w:keepNext/>
        <w:spacing w:after="0"/>
        <w:jc w:val="left"/>
      </w:pPr>
      <w:r>
        <w:rPr>
          <w:rFonts w:ascii="Arial" w:hAnsi="Arial" w:cs="Arial"/>
        </w:rPr>
        <w:t>m</w:t>
      </w:r>
      <w:r w:rsidR="00DA450F">
        <w:rPr>
          <w:rFonts w:ascii="Arial" w:hAnsi="Arial" w:cs="Arial"/>
        </w:rPr>
        <w:t>í</w:t>
      </w:r>
      <w:r w:rsidR="00B828B7">
        <w:rPr>
          <w:rFonts w:ascii="Arial" w:hAnsi="Arial" w:cs="Arial"/>
        </w:rPr>
        <w:t>s</w:t>
      </w:r>
      <w:r w:rsidR="001C6861" w:rsidRPr="0062486B">
        <w:rPr>
          <w:rFonts w:ascii="Arial" w:hAnsi="Arial" w:cs="Arial"/>
        </w:rPr>
        <w:t>t</w:t>
      </w:r>
      <w:r w:rsidR="00DA450F">
        <w:rPr>
          <w:rFonts w:ascii="Arial" w:hAnsi="Arial" w:cs="Arial"/>
        </w:rPr>
        <w:t>osta</w:t>
      </w:r>
      <w:r w:rsidR="001C6861" w:rsidRPr="0062486B">
        <w:rPr>
          <w:rFonts w:ascii="Arial" w:hAnsi="Arial" w:cs="Arial"/>
        </w:rPr>
        <w:t>rost</w:t>
      </w:r>
      <w:r w:rsidR="00DA450F">
        <w:rPr>
          <w:rFonts w:ascii="Arial" w:hAnsi="Arial" w:cs="Arial"/>
        </w:rPr>
        <w:t>k</w:t>
      </w:r>
      <w:r w:rsidR="001C6861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, v.r.</w:t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</w:r>
      <w:r w:rsidR="008A35E9">
        <w:rPr>
          <w:rFonts w:ascii="Arial" w:hAnsi="Arial" w:cs="Arial"/>
        </w:rPr>
        <w:tab/>
        <w:t>starosta</w:t>
      </w:r>
      <w:r>
        <w:rPr>
          <w:rFonts w:ascii="Arial" w:hAnsi="Arial" w:cs="Arial"/>
        </w:rPr>
        <w:t>, v.r.</w:t>
      </w:r>
      <w:r w:rsidR="002C571F">
        <w:t xml:space="preserve"> </w:t>
      </w:r>
    </w:p>
    <w:sectPr w:rsidR="00E77F01" w:rsidSect="00E5506A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17A25" w14:textId="77777777" w:rsidR="00E15F48" w:rsidRDefault="00E15F48" w:rsidP="00300D52">
      <w:pPr>
        <w:spacing w:after="0"/>
      </w:pPr>
      <w:r>
        <w:separator/>
      </w:r>
    </w:p>
  </w:endnote>
  <w:endnote w:type="continuationSeparator" w:id="0">
    <w:p w14:paraId="5A0582DC" w14:textId="77777777" w:rsidR="00E15F48" w:rsidRDefault="00E15F48" w:rsidP="00300D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theme-font-famil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47265886"/>
      <w:docPartObj>
        <w:docPartGallery w:val="Page Numbers (Bottom of Page)"/>
        <w:docPartUnique/>
      </w:docPartObj>
    </w:sdtPr>
    <w:sdtContent>
      <w:p w14:paraId="260CA6CA" w14:textId="77777777" w:rsidR="00300D52" w:rsidRPr="00456B24" w:rsidRDefault="00300D5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66EE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E6749EE" w14:textId="77777777" w:rsidR="00300D52" w:rsidRDefault="00300D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43211" w14:textId="77777777" w:rsidR="00E15F48" w:rsidRDefault="00E15F48" w:rsidP="00300D52">
      <w:pPr>
        <w:spacing w:after="0"/>
      </w:pPr>
      <w:r>
        <w:separator/>
      </w:r>
    </w:p>
  </w:footnote>
  <w:footnote w:type="continuationSeparator" w:id="0">
    <w:p w14:paraId="72781954" w14:textId="77777777" w:rsidR="00E15F48" w:rsidRDefault="00E15F48" w:rsidP="00300D52">
      <w:pPr>
        <w:spacing w:after="0"/>
      </w:pPr>
      <w:r>
        <w:continuationSeparator/>
      </w:r>
    </w:p>
  </w:footnote>
  <w:footnote w:id="1">
    <w:p w14:paraId="4C1A565C" w14:textId="77777777" w:rsidR="00300D52" w:rsidRPr="00A23364" w:rsidRDefault="00300D52" w:rsidP="00300D52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633DE"/>
    <w:multiLevelType w:val="hybridMultilevel"/>
    <w:tmpl w:val="149AAC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708"/>
    <w:multiLevelType w:val="hybridMultilevel"/>
    <w:tmpl w:val="1E82D664"/>
    <w:lvl w:ilvl="0" w:tplc="6A9A22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1814"/>
    <w:multiLevelType w:val="hybridMultilevel"/>
    <w:tmpl w:val="F512519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E6C"/>
    <w:multiLevelType w:val="hybridMultilevel"/>
    <w:tmpl w:val="D62A82E4"/>
    <w:lvl w:ilvl="0" w:tplc="F8A42E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30BD"/>
    <w:multiLevelType w:val="hybridMultilevel"/>
    <w:tmpl w:val="A27A9E60"/>
    <w:lvl w:ilvl="0" w:tplc="582A95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823F4"/>
    <w:multiLevelType w:val="hybridMultilevel"/>
    <w:tmpl w:val="BD34F8AA"/>
    <w:lvl w:ilvl="0" w:tplc="73D4EFF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C1485A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D6F29"/>
    <w:multiLevelType w:val="hybridMultilevel"/>
    <w:tmpl w:val="4C667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95764">
    <w:abstractNumId w:val="10"/>
  </w:num>
  <w:num w:numId="2" w16cid:durableId="299310752">
    <w:abstractNumId w:val="12"/>
  </w:num>
  <w:num w:numId="3" w16cid:durableId="1895504015">
    <w:abstractNumId w:val="3"/>
  </w:num>
  <w:num w:numId="4" w16cid:durableId="424812849">
    <w:abstractNumId w:val="5"/>
  </w:num>
  <w:num w:numId="5" w16cid:durableId="240256833">
    <w:abstractNumId w:val="1"/>
  </w:num>
  <w:num w:numId="6" w16cid:durableId="1600214522">
    <w:abstractNumId w:val="4"/>
  </w:num>
  <w:num w:numId="7" w16cid:durableId="1453094351">
    <w:abstractNumId w:val="9"/>
  </w:num>
  <w:num w:numId="8" w16cid:durableId="1059479794">
    <w:abstractNumId w:val="7"/>
  </w:num>
  <w:num w:numId="9" w16cid:durableId="169294296">
    <w:abstractNumId w:val="2"/>
  </w:num>
  <w:num w:numId="10" w16cid:durableId="1143423563">
    <w:abstractNumId w:val="6"/>
  </w:num>
  <w:num w:numId="11" w16cid:durableId="101805558">
    <w:abstractNumId w:val="8"/>
  </w:num>
  <w:num w:numId="12" w16cid:durableId="1144852153">
    <w:abstractNumId w:val="11"/>
  </w:num>
  <w:num w:numId="13" w16cid:durableId="1653367662">
    <w:abstractNumId w:val="13"/>
  </w:num>
  <w:num w:numId="14" w16cid:durableId="40403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F3"/>
    <w:rsid w:val="00015189"/>
    <w:rsid w:val="00036811"/>
    <w:rsid w:val="000F5A6E"/>
    <w:rsid w:val="00106FD1"/>
    <w:rsid w:val="001527ED"/>
    <w:rsid w:val="001708E9"/>
    <w:rsid w:val="001C6861"/>
    <w:rsid w:val="00216E60"/>
    <w:rsid w:val="002253F1"/>
    <w:rsid w:val="002639F6"/>
    <w:rsid w:val="002C571F"/>
    <w:rsid w:val="00300D52"/>
    <w:rsid w:val="00321145"/>
    <w:rsid w:val="00363512"/>
    <w:rsid w:val="00377C46"/>
    <w:rsid w:val="00431AFE"/>
    <w:rsid w:val="005034AD"/>
    <w:rsid w:val="00527224"/>
    <w:rsid w:val="00542275"/>
    <w:rsid w:val="00544440"/>
    <w:rsid w:val="0070161C"/>
    <w:rsid w:val="00707471"/>
    <w:rsid w:val="00746622"/>
    <w:rsid w:val="007914F3"/>
    <w:rsid w:val="007B320C"/>
    <w:rsid w:val="007F7BCA"/>
    <w:rsid w:val="00831C06"/>
    <w:rsid w:val="00845BA6"/>
    <w:rsid w:val="008919FA"/>
    <w:rsid w:val="008A35E9"/>
    <w:rsid w:val="00901636"/>
    <w:rsid w:val="00935B7D"/>
    <w:rsid w:val="009C33C5"/>
    <w:rsid w:val="009C3CF6"/>
    <w:rsid w:val="00A7139C"/>
    <w:rsid w:val="00AD3160"/>
    <w:rsid w:val="00B366E1"/>
    <w:rsid w:val="00B46AC7"/>
    <w:rsid w:val="00B66EE7"/>
    <w:rsid w:val="00B76BBF"/>
    <w:rsid w:val="00B828B7"/>
    <w:rsid w:val="00BD5FA3"/>
    <w:rsid w:val="00C261A5"/>
    <w:rsid w:val="00C34A09"/>
    <w:rsid w:val="00C81593"/>
    <w:rsid w:val="00D91008"/>
    <w:rsid w:val="00D9624F"/>
    <w:rsid w:val="00DA450F"/>
    <w:rsid w:val="00E03C28"/>
    <w:rsid w:val="00E15F48"/>
    <w:rsid w:val="00E5506A"/>
    <w:rsid w:val="00E77F01"/>
    <w:rsid w:val="00EB7DF8"/>
    <w:rsid w:val="00EC09D9"/>
    <w:rsid w:val="00EC3729"/>
    <w:rsid w:val="00F04AAC"/>
    <w:rsid w:val="00F1180C"/>
    <w:rsid w:val="00F141E8"/>
    <w:rsid w:val="00F169DE"/>
    <w:rsid w:val="00F4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923D"/>
  <w15:docId w15:val="{CF1F2264-1C4F-4B1D-9BD5-ED3162CF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D5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D5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0D5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0D5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0D5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00D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00D52"/>
  </w:style>
  <w:style w:type="table" w:styleId="Mkatabulky">
    <w:name w:val="Table Grid"/>
    <w:basedOn w:val="Normlntabulka"/>
    <w:uiPriority w:val="59"/>
    <w:rsid w:val="0037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B7DF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9D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odexis.cz/legislativa/CR60_2024_01_01?hash=match-0" TargetMode="External"/><Relationship Id="rId13" Type="http://schemas.openxmlformats.org/officeDocument/2006/relationships/hyperlink" Target="https://app.codexis.cz/legislativa/CR60_2024_01_01?hash=match-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codexis.cz/legislativa/CR60_2024_01_01?hash=match-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app.codexis.cz/legislativa/CR60_2024_01_01?hash=match-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codexis.cz/legislativa/CR60_2024_01_01?hash=match-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codexis.cz/legislativa/CR60_2024_01_01?hash=match-0" TargetMode="External"/><Relationship Id="rId10" Type="http://schemas.openxmlformats.org/officeDocument/2006/relationships/hyperlink" Target="https://app.codexis.cz/legislativa/CR60_2024_01_01?hash=match-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pp.codexis.cz/legislativa/CR60_2024_01_01?hash=match-0" TargetMode="External"/><Relationship Id="rId14" Type="http://schemas.openxmlformats.org/officeDocument/2006/relationships/hyperlink" Target="https://app.codexis.cz/legislativa/CR60_2024_01_01?hash=match-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F30E-B321-4CA1-9114-623C515E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tymlovahana</dc:creator>
  <cp:lastModifiedBy>Obec Losiná</cp:lastModifiedBy>
  <cp:revision>2</cp:revision>
  <cp:lastPrinted>2024-06-20T09:01:00Z</cp:lastPrinted>
  <dcterms:created xsi:type="dcterms:W3CDTF">2024-06-28T05:04:00Z</dcterms:created>
  <dcterms:modified xsi:type="dcterms:W3CDTF">2024-06-28T05:04:00Z</dcterms:modified>
</cp:coreProperties>
</file>