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color w:val="00000A"/>
          <w:sz w:val="24"/>
          <w:szCs w:val="24"/>
          <w:lang w:val="cs-CZ" w:eastAsia="cs-CZ" w:bidi="ar-SA"/>
        </w:rPr>
      </w:pPr>
      <w:r>
        <w:rPr>
          <w:rFonts w:eastAsia="Times New Roman" w:cs="Times New Roman"/>
          <w:color w:val="00000A"/>
          <w:sz w:val="24"/>
          <w:szCs w:val="24"/>
          <w:lang w:val="cs-CZ" w:eastAsia="cs-CZ" w:bidi="ar-SA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  <w:t xml:space="preserve"> </w:t>
      </w:r>
    </w:p>
    <w:p>
      <w:pPr>
        <w:pStyle w:val="Zhlav"/>
        <w:rPr>
          <w:rFonts w:ascii="Times New Roman" w:hAnsi="Times New Roman" w:eastAsia="Times New Roman" w:cs="Times New Roman"/>
          <w:color w:val="00000A"/>
          <w:sz w:val="24"/>
          <w:szCs w:val="24"/>
          <w:lang w:val="cs-CZ" w:eastAsia="cs-CZ" w:bidi="ar-SA"/>
        </w:rPr>
      </w:pPr>
      <w:r>
        <w:rPr>
          <w:rFonts w:eastAsia="Times New Roman" w:cs="Times New Roman"/>
          <w:color w:val="00000A"/>
          <w:sz w:val="24"/>
          <w:szCs w:val="24"/>
          <w:lang w:val="cs-CZ" w:eastAsia="cs-CZ" w:bidi="ar-SA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PAČEJOV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Pačejov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Pačejov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 xml:space="preserve"> 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color w:val="00000A"/>
          <w:sz w:val="24"/>
          <w:szCs w:val="24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cs-CZ" w:eastAsia="cs-CZ" w:bidi="ar-SA"/>
        </w:rPr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>
          <w:rFonts w:ascii="Arial" w:hAnsi="Arial" w:eastAsia="Times New Roman" w:cs="Arial"/>
          <w:b w:val="false"/>
          <w:b w:val="false"/>
          <w:bCs/>
          <w:color w:val="00000A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b w:val="false"/>
          <w:bCs/>
          <w:color w:val="00000A"/>
          <w:sz w:val="22"/>
          <w:szCs w:val="22"/>
          <w:lang w:val="cs-CZ" w:eastAsia="cs-CZ" w:bidi="ar-SA"/>
        </w:rPr>
      </w:r>
    </w:p>
    <w:p>
      <w:pPr>
        <w:pStyle w:val="Nzevzkona"/>
        <w:tabs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 xml:space="preserve">Zastupitelstvo obce Pačejov se na svém zasedání </w:t>
      </w:r>
      <w:r>
        <w:rPr>
          <w:rFonts w:cs="Arial" w:ascii="Arial" w:hAnsi="Arial"/>
          <w:b w:val="false"/>
          <w:sz w:val="22"/>
          <w:szCs w:val="22"/>
        </w:rPr>
        <w:t>č. 2</w:t>
      </w:r>
      <w:r>
        <w:rPr>
          <w:rFonts w:cs="Arial" w:ascii="Arial" w:hAnsi="Arial"/>
          <w:b w:val="false"/>
          <w:sz w:val="22"/>
          <w:szCs w:val="22"/>
        </w:rPr>
        <w:t xml:space="preserve"> dne </w:t>
      </w:r>
      <w:r>
        <w:rPr>
          <w:rFonts w:cs="Arial" w:ascii="Arial" w:hAnsi="Arial"/>
          <w:b w:val="false"/>
          <w:sz w:val="22"/>
          <w:szCs w:val="22"/>
        </w:rPr>
        <w:t>16.12. 2022</w:t>
      </w:r>
      <w:r>
        <w:rPr>
          <w:rFonts w:cs="Arial" w:ascii="Arial" w:hAnsi="Arial"/>
          <w:b w:val="false"/>
          <w:sz w:val="22"/>
          <w:szCs w:val="22"/>
        </w:rPr>
        <w:t xml:space="preserve"> usnesením č. </w:t>
      </w:r>
      <w:r>
        <w:rPr>
          <w:rFonts w:cs="Arial" w:ascii="Arial" w:hAnsi="Arial"/>
          <w:b w:val="false"/>
          <w:sz w:val="22"/>
          <w:szCs w:val="22"/>
        </w:rPr>
        <w:t>8</w:t>
      </w:r>
      <w:r>
        <w:rPr>
          <w:rFonts w:cs="Arial" w:ascii="Arial" w:hAnsi="Arial"/>
          <w:b w:val="false"/>
          <w:sz w:val="22"/>
          <w:szCs w:val="22"/>
        </w:rPr>
        <w:t xml:space="preserve"> 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/>
      </w:pPr>
      <w:r>
        <w:rPr>
          <w:rFonts w:cs="Arial" w:ascii="Arial" w:hAnsi="Arial"/>
          <w:sz w:val="22"/>
          <w:szCs w:val="22"/>
        </w:rPr>
        <w:t>Obec Pačejov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 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/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Default"/>
        <w:ind w:left="567" w:hanging="0"/>
        <w:jc w:val="both"/>
        <w:rPr>
          <w:rFonts w:ascii="Arial" w:hAnsi="Arial" w:eastAsia="Times New Roman" w:cs="Arial"/>
          <w:color w:val="000000"/>
          <w:sz w:val="22"/>
          <w:szCs w:val="22"/>
          <w:lang w:val="cs-CZ" w:eastAsia="cs-CZ" w:bidi="ar-SA"/>
        </w:rPr>
      </w:pPr>
      <w:r>
        <w:rPr>
          <w:rFonts w:eastAsia="Times New Roman" w:cs="Arial"/>
          <w:color w:val="000000"/>
          <w:sz w:val="22"/>
          <w:szCs w:val="22"/>
          <w:lang w:val="cs-CZ" w:eastAsia="cs-CZ" w:bidi="ar-SA"/>
        </w:rPr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/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dnů ode dne vzniku své poplatkové povinnosti. </w:t>
      </w:r>
      <w:r>
        <w:rPr>
          <w:rFonts w:cs="Arial" w:ascii="Arial" w:hAnsi="Arial"/>
          <w:color w:val="0070C0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>Sazba poplatku činí 850,00 Kč.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i/>
          <w:color w:val="0070C0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eastAsia="Times New Roman" w:cs="Arial"/>
          <w:color w:val="00000A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spacing w:lineRule="auto" w:line="264" w:before="120" w:after="0"/>
        <w:jc w:val="both"/>
        <w:rPr/>
      </w:pP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31.3.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00000A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/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Default"/>
        <w:ind w:left="567" w:hanging="0"/>
        <w:rPr>
          <w:rFonts w:ascii="Arial" w:hAnsi="Arial" w:eastAsia="Times New Roman" w:cs="Arial"/>
          <w:color w:val="000000"/>
          <w:sz w:val="24"/>
          <w:szCs w:val="24"/>
          <w:lang w:val="cs-CZ" w:eastAsia="cs-CZ" w:bidi="ar-SA"/>
        </w:rPr>
      </w:pPr>
      <w:r>
        <w:rPr>
          <w:rFonts w:eastAsia="Times New Roman" w:cs="Arial"/>
          <w:color w:val="000000"/>
          <w:sz w:val="24"/>
          <w:szCs w:val="24"/>
          <w:lang w:val="cs-CZ" w:eastAsia="cs-CZ" w:bidi="ar-SA"/>
        </w:rPr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>se trvale zdržuje mimo území ČR</w:t>
      </w:r>
    </w:p>
    <w:p>
      <w:pPr>
        <w:pStyle w:val="Normal"/>
        <w:numPr>
          <w:ilvl w:val="1"/>
          <w:numId w:val="2"/>
        </w:numPr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>vlastní další stavbu určenou k individuální rekreaci, byt nebo rodinný dům, ve kterém  není přihlášena žádná fyzická osoba.</w:t>
      </w:r>
    </w:p>
    <w:p>
      <w:pPr>
        <w:pStyle w:val="Normal"/>
        <w:tabs>
          <w:tab w:val="left" w:pos="3780" w:leader="none"/>
        </w:tabs>
        <w:ind w:left="567" w:hanging="0"/>
        <w:jc w:val="both"/>
        <w:rPr/>
      </w:pPr>
      <w:r>
        <w:rPr>
          <w:rFonts w:cs="Arial" w:ascii="Arial" w:hAnsi="Arial"/>
          <w:i/>
          <w:color w:val="0070C0"/>
          <w:sz w:val="20"/>
          <w:szCs w:val="20"/>
        </w:rPr>
        <w:t xml:space="preserve"> </w:t>
      </w:r>
    </w:p>
    <w:p>
      <w:pPr>
        <w:pStyle w:val="Normal"/>
        <w:spacing w:lineRule="auto" w:line="264" w:before="120" w:after="0"/>
        <w:ind w:left="567" w:hanging="567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Slalnk"/>
        <w:spacing w:before="480" w:after="60"/>
        <w:rPr/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</w:rPr>
        <w:footnoteReference w:id="16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/>
      </w:pPr>
      <w:bookmarkStart w:id="0" w:name="_Hlk54595723"/>
      <w:r>
        <w:rPr>
          <w:rFonts w:cs="Arial" w:ascii="Arial" w:hAnsi="Arial"/>
          <w:sz w:val="22"/>
          <w:szCs w:val="22"/>
        </w:rPr>
        <w:t>Zrušuje se obecně závazná vyh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láška obce Pačejov </w:t>
      </w:r>
      <w:bookmarkEnd w:id="0"/>
      <w:r>
        <w:rPr>
          <w:rFonts w:cs="Arial" w:ascii="Arial" w:hAnsi="Arial"/>
          <w:b w:val="false"/>
          <w:bCs w:val="false"/>
          <w:sz w:val="22"/>
          <w:szCs w:val="22"/>
        </w:rPr>
        <w:t xml:space="preserve">č.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</w:rPr>
        <w:t>2/2021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o</w:t>
      </w:r>
      <w:r>
        <w:rPr>
          <w:rFonts w:cs="Arial" w:ascii="Arial" w:hAnsi="Arial"/>
          <w:sz w:val="22"/>
          <w:szCs w:val="22"/>
        </w:rPr>
        <w:t xml:space="preserve"> místním poplatku za obecní systém odpadového hospodářství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 10.9. 2021</w:t>
      </w:r>
      <w:r>
        <w:rPr>
          <w:rFonts w:cs="Arial" w:ascii="Arial" w:hAnsi="Arial"/>
          <w:i/>
          <w:sz w:val="22"/>
          <w:szCs w:val="22"/>
        </w:rPr>
        <w:t xml:space="preserve"> 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eastAsia="Times New Roman" w:cs="Arial"/>
          <w:color w:val="00000A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left"/>
        <w:rPr/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  <w:t xml:space="preserve"> </w:t>
      </w:r>
    </w:p>
    <w:p>
      <w:pPr>
        <w:pStyle w:val="Normal"/>
        <w:spacing w:lineRule="auto" w:line="288" w:before="120" w:after="0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1.1. 2023 . </w:t>
      </w:r>
    </w:p>
    <w:p>
      <w:pPr>
        <w:pStyle w:val="Nzvylnk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color w:val="1A4BD6"/>
          <w:sz w:val="24"/>
          <w:szCs w:val="24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/>
          <w:color w:val="1A4BD6"/>
          <w:sz w:val="24"/>
          <w:szCs w:val="24"/>
          <w:lang w:val="cs-CZ" w:eastAsia="cs-CZ" w:bidi="ar-SA"/>
        </w:rPr>
      </w:r>
    </w:p>
    <w:p>
      <w:pPr>
        <w:pStyle w:val="Nzvylnk"/>
        <w:jc w:val="left"/>
        <w:rPr/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  <w:t xml:space="preserve"> </w:t>
      </w:r>
    </w:p>
    <w:p>
      <w:pPr>
        <w:pStyle w:val="Normal"/>
        <w:spacing w:lineRule="auto" w:line="264" w:before="120" w:after="0"/>
        <w:jc w:val="both"/>
        <w:rPr>
          <w:rFonts w:ascii="Arial" w:hAnsi="Arial" w:eastAsia="Times New Roman" w:cs="Arial"/>
          <w:color w:val="00000A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  <w:i/>
          <w:color w:val="0070C0"/>
          <w:sz w:val="20"/>
          <w:szCs w:val="20"/>
        </w:rPr>
        <w:t xml:space="preserve"> </w:t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eastAsia="Times New Roman" w:cs="Arial"/>
          <w:color w:val="00000A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</w:p>
    <w:p>
      <w:pPr>
        <w:pStyle w:val="Tlotextu"/>
        <w:tabs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 xml:space="preserve"> </w:t>
        <w:tab/>
        <w:t xml:space="preserve"> </w:t>
      </w:r>
    </w:p>
    <w:p>
      <w:pPr>
        <w:pStyle w:val="Tlotextu"/>
        <w:tabs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ab/>
        <w:t>Bc. Radek Junger</w:t>
        <w:tab/>
        <w:t>Ing. Jan Vavřička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eastAsia="Times New Roman" w:cs="Arial"/>
          <w:color w:val="00000A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</w:p>
    <w:p>
      <w:pPr>
        <w:pStyle w:val="Tlotextu"/>
        <w:tabs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eastAsia="Times New Roman" w:cs="Arial"/>
          <w:color w:val="00000A"/>
          <w:sz w:val="22"/>
          <w:szCs w:val="22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</w:p>
    <w:p>
      <w:pPr>
        <w:pStyle w:val="Normal"/>
        <w:tabs>
          <w:tab w:val="left" w:pos="3780" w:leader="none"/>
        </w:tabs>
        <w:ind w:left="567" w:hanging="0"/>
        <w:jc w:val="both"/>
        <w:rPr/>
      </w:pPr>
      <w:r>
        <w:rPr>
          <w:rFonts w:cs="Arial" w:ascii="Arial" w:hAnsi="Arial"/>
          <w:i/>
          <w:color w:val="0070C0"/>
          <w:sz w:val="20"/>
          <w:szCs w:val="20"/>
        </w:rPr>
        <w:t xml:space="preserve"> 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 xml:space="preserve"> </w:t>
      </w:r>
      <w:r>
        <w:rPr>
          <w:rStyle w:val="Footnotereference"/>
          <w:position w:val="0"/>
          <w:sz w:val="24"/>
          <w:sz w:val="24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a) přihlášení k trvalému pobytu podle zákona o evidenci obyvatel, nebo  </w:t>
        <w:tab/>
        <w:tab/>
        <w:tab/>
        <w:tab/>
        <w:t>b) ohlášení místa pobytu podle zákona o pobytu cizinců na území České republiky, zákona o azylu nebo zákona o dočasné ochraně cizinců, jde-li o cizince,</w:t>
        <w:tab/>
      </w:r>
    </w:p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tab/>
        <w:t>1. kterému byl povolen trvalý pobyt,</w:t>
      </w:r>
    </w:p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tab/>
        <w:t>2. který na území České republiky pobývá přechodně po dobu delší než 3 měsíce,</w:t>
      </w:r>
    </w:p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Footnotetext"/>
        <w:rPr/>
      </w:pPr>
      <w:r>
        <w:rPr>
          <w:rFonts w:cs="Arial" w:ascii="Arial" w:hAnsi="Arial"/>
          <w:sz w:val="18"/>
          <w:szCs w:val="18"/>
        </w:rPr>
        <w:tab/>
        <w:t>4. kterému byla udělena mezinárodní ochrana nebo jde o cizince požívajícího dočasné ochrany cizinců.</w:t>
      </w:r>
    </w:p>
    <w:p>
      <w:pPr>
        <w:pStyle w:val="Footnotetext"/>
        <w:rPr>
          <w:rFonts w:ascii="Arial" w:hAnsi="Arial" w:eastAsia="Times New Roman" w:cs="Arial"/>
          <w:color w:val="00000A"/>
          <w:sz w:val="18"/>
          <w:szCs w:val="18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18"/>
          <w:szCs w:val="18"/>
          <w:lang w:val="cs-CZ" w:eastAsia="cs-CZ" w:bidi="ar-SA"/>
        </w:rPr>
      </w:r>
    </w:p>
    <w:p>
      <w:pPr>
        <w:pStyle w:val="Poznmkapodarou"/>
        <w:rPr/>
      </w:pPr>
      <w:r>
        <w:rPr/>
      </w:r>
    </w:p>
    <w:p>
      <w:pPr>
        <w:pStyle w:val="Poznmkapodarou"/>
        <w:rPr/>
      </w:pPr>
      <w:r>
        <w:rPr/>
      </w:r>
    </w:p>
    <w:p>
      <w:pPr>
        <w:pStyle w:val="Poznmkapodarou"/>
        <w:rPr/>
      </w:pPr>
      <w:r>
        <w:rPr/>
      </w:r>
    </w:p>
    <w:p>
      <w:pPr>
        <w:pStyle w:val="Poznmkapodarou"/>
        <w:rPr/>
      </w:pPr>
      <w:r>
        <w:rPr/>
      </w:r>
    </w:p>
    <w:p>
      <w:pPr>
        <w:pStyle w:val="Poznmkapodarou"/>
        <w:rPr/>
      </w:pPr>
      <w:r>
        <w:rPr/>
      </w:r>
    </w:p>
  </w:footnote>
  <w:footnote w:id="5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 xml:space="preserve"> </w:t>
      </w:r>
      <w:r>
        <w:rPr>
          <w:rStyle w:val="Footnotereference"/>
          <w:position w:val="0"/>
          <w:sz w:val="24"/>
          <w:sz w:val="24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 xml:space="preserve"> § 14a odst. 2 zákona o místních poplatcích</w:t>
      </w:r>
    </w:p>
  </w:footnote>
  <w:footnote w:id="8">
    <w:p>
      <w:pPr>
        <w:pStyle w:val="Poznmkapodarou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 xml:space="preserve"> § 14a odst. 3 zákona o místních poplatcích</w:t>
      </w:r>
    </w:p>
  </w:footnote>
  <w:footnote w:id="9">
    <w:p>
      <w:pPr>
        <w:pStyle w:val="Poznmkapodarou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 xml:space="preserve"> § 14a odst. 4 zákona o místních poplatcích</w:t>
      </w:r>
    </w:p>
  </w:footnote>
  <w:footnote w:id="10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 xml:space="preserve"> 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 xml:space="preserve"> § 11 odst. 1 zákona o místních poplatcích</w:t>
      </w:r>
    </w:p>
  </w:footnote>
  <w:footnote w:id="15">
    <w:p>
      <w:pPr>
        <w:pStyle w:val="Poznmkapodarou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 xml:space="preserve"> § 11 odst. 3 zákona o místních poplatcích</w:t>
      </w:r>
    </w:p>
  </w:footnote>
  <w:footnote w:id="16">
    <w:p>
      <w:pPr>
        <w:pStyle w:val="Poznmkapodarou"/>
        <w:rPr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</w:r>
      <w:r>
        <w:rPr>
          <w:rStyle w:val="Footnotereference"/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 xml:space="preserve"> § 12 zákona o místních poplatcích</w:t>
      </w:r>
    </w:p>
  </w:footnote>
  <w:footnote w:id="17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8">
    <w:p>
      <w:pPr>
        <w:pStyle w:val="Poznmkapodarou"/>
        <w:rPr/>
      </w:pPr>
      <w:r>
        <w:rPr>
          <w:rStyle w:val="Footnotereference"/>
        </w:rPr>
        <w:footnoteRef/>
        <w:tab/>
      </w:r>
      <w:r>
        <w:rPr>
          <w:rStyle w:val="Footnotereference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Footnotereference">
    <w:name w:val="footnote reference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">
    <w:name w:val="ListLabel 2"/>
    <w:qFormat/>
    <w:rPr>
      <w:b w:val="false"/>
      <w:i w:val="false"/>
      <w:strike w:val="false"/>
      <w:dstrike w:val="false"/>
      <w:color w:val="00000A"/>
      <w:position w:val="0"/>
      <w:sz w:val="24"/>
      <w:sz w:val="24"/>
      <w:vertAlign w:val="baseline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Calibri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ListLabel5">
    <w:name w:val="ListLabel 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6">
    <w:name w:val="ListLabel 6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7">
    <w:name w:val="ListLabel 7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8">
    <w:name w:val="ListLabel 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">
    <w:name w:val="ListLabel 9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Znakypropoznmkupodarou">
    <w:name w:val="Znaky pro poznámku pod čarou"/>
    <w:qFormat/>
    <w:rPr/>
  </w:style>
  <w:style w:type="character" w:styleId="Znakyprovysvtlivky">
    <w:name w:val="Znaky pro vysvětlivky"/>
    <w:qFormat/>
    <w:rPr/>
  </w:style>
  <w:style w:type="character" w:styleId="ListLabel10">
    <w:name w:val="ListLabel 1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1">
    <w:name w:val="ListLabel 1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2">
    <w:name w:val="ListLabel 1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3">
    <w:name w:val="ListLabel 1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4">
    <w:name w:val="ListLabel 1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5">
    <w:name w:val="ListLabel 1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6">
    <w:name w:val="ListLabel 1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7">
    <w:name w:val="ListLabel 1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8">
    <w:name w:val="ListLabel 1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lineRule="auto" w:line="288"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">
    <w:name w:val="Header"/>
    <w:basedOn w:val="Normal"/>
    <w:link w:val="ZhlavChar"/>
    <w:rsid w:val="00131160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qFormat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5F82-30F4-4B35-83BE-D016CFE6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Application>LibreOffice/5.4.1.2$Windows_X86_64 LibreOffice_project/ea7cb86e6eeb2bf3a5af73a8f7777ac570321527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2022-11-08T12:56:00Z</dcterms:created>
  <dc:creator>Mgr. Lukáš Toman</dc:creator>
  <dc:description/>
  <dc:language>cs-CZ</dc:language>
  <cp:lastModifiedBy/>
  <cp:lastPrinted>2015-10-16T08:54:00Z</cp:lastPrinted>
  <dcterms:modified xsi:type="dcterms:W3CDTF">2022-12-17T12:14:19Z</dcterms:modified>
  <cp:revision>11</cp:revision>
  <dc:subject/>
  <dc:title>Metodický materiál</dc:title>
</cp:coreProperties>
</file>