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OBEC Sendražice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Zastupitelstvo obce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/>
        <w:drawing>
          <wp:inline distT="0" distB="0" distL="0" distR="0">
            <wp:extent cx="632460" cy="708660"/>
            <wp:effectExtent l="0" t="0" r="0" b="0"/>
            <wp:docPr id="1" name="Obrázek 1" descr="Znak obce Sendražice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Znak obce Sendražice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708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Obecně závazná vyhláška</w:t>
      </w:r>
    </w:p>
    <w:p>
      <w:pPr>
        <w:pStyle w:val="Normal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 místním poplatku za obecní systém odpadového hospodářství</w:t>
      </w:r>
    </w:p>
    <w:p>
      <w:pPr>
        <w:pStyle w:val="Nzevzkona"/>
        <w:tabs>
          <w:tab w:val="clear" w:pos="708"/>
          <w:tab w:val="left" w:pos="2977" w:leader="none"/>
        </w:tabs>
        <w:spacing w:lineRule="auto" w:line="264" w:before="0" w:after="0"/>
        <w:jc w:val="both"/>
        <w:rPr>
          <w:rFonts w:ascii="Arial" w:hAnsi="Arial" w:cs="Arial"/>
          <w:b w:val="false"/>
          <w:b w:val="false"/>
          <w:sz w:val="22"/>
          <w:szCs w:val="22"/>
        </w:rPr>
      </w:pPr>
      <w:r>
        <w:rPr>
          <w:rFonts w:cs="Arial" w:ascii="Arial" w:hAnsi="Arial"/>
          <w:b w:val="false"/>
          <w:sz w:val="22"/>
          <w:szCs w:val="22"/>
        </w:rPr>
      </w:r>
    </w:p>
    <w:p>
      <w:pPr>
        <w:pStyle w:val="Nzevzkona"/>
        <w:tabs>
          <w:tab w:val="clear" w:pos="708"/>
          <w:tab w:val="left" w:pos="2977" w:leader="none"/>
        </w:tabs>
        <w:spacing w:lineRule="auto" w:line="264" w:before="0" w:after="0"/>
        <w:jc w:val="both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b w:val="false"/>
          <w:sz w:val="22"/>
          <w:szCs w:val="22"/>
        </w:rPr>
        <w:t xml:space="preserve">Zastupitelstvo obce Sendražice se na svém zasedání dne </w:t>
      </w:r>
      <w:r>
        <w:rPr>
          <w:rFonts w:cs="Arial" w:ascii="Arial" w:hAnsi="Arial"/>
          <w:b w:val="false"/>
          <w:sz w:val="22"/>
          <w:szCs w:val="22"/>
        </w:rPr>
        <w:t>9.12.2024</w:t>
      </w:r>
      <w:r>
        <w:rPr>
          <w:rFonts w:cs="Arial" w:ascii="Arial" w:hAnsi="Arial"/>
          <w:b w:val="false"/>
          <w:sz w:val="22"/>
          <w:szCs w:val="22"/>
        </w:rPr>
        <w:t xml:space="preserve"> usneslo vydat na základě</w:t>
      </w:r>
      <w:r>
        <w:rPr>
          <w:rFonts w:cs="Arial" w:ascii="Arial" w:hAnsi="Arial"/>
          <w:b w:val="false"/>
          <w:bCs w:val="false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a § 84 odst. 2 písm. h) zákona č. 128/2000 Sb., o obcích (obecní zřízení), ve znění pozdějších předpisů, tuto obecně závaznou vyhlášku (dále jen „vyhláška“): 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1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Úvodní ustanovení</w:t>
      </w:r>
    </w:p>
    <w:p>
      <w:pPr>
        <w:pStyle w:val="Odsazentlatextu"/>
        <w:numPr>
          <w:ilvl w:val="0"/>
          <w:numId w:val="1"/>
        </w:numPr>
        <w:spacing w:lineRule="auto" w:line="264" w:before="0" w:after="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Obec Sendražice touto vyhláškou zavádí místní poplatek za obecní systém odpadového hospodářství (dále jen „poplatek“).</w:t>
      </w:r>
    </w:p>
    <w:p>
      <w:pPr>
        <w:pStyle w:val="Odsazentlatextu"/>
        <w:numPr>
          <w:ilvl w:val="0"/>
          <w:numId w:val="1"/>
        </w:numPr>
        <w:spacing w:lineRule="auto" w:line="264" w:before="0" w:after="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Poplatkovým obdobím poplatku je kalendářní rok.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2"/>
      </w:r>
    </w:p>
    <w:p>
      <w:pPr>
        <w:pStyle w:val="Normal"/>
        <w:numPr>
          <w:ilvl w:val="0"/>
          <w:numId w:val="1"/>
        </w:numPr>
        <w:spacing w:lineRule="auto" w:line="28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Správcem poplatku je obecní úřad.</w:t>
      </w:r>
      <w:r>
        <w:rPr>
          <w:rStyle w:val="Ukotvenpoznmkypodarou"/>
          <w:rFonts w:cs="Arial" w:ascii="Arial" w:hAnsi="Arial"/>
          <w:sz w:val="22"/>
          <w:szCs w:val="22"/>
          <w:vertAlign w:val="superscript"/>
        </w:rPr>
        <w:footnoteReference w:id="3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2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Poplatník</w:t>
      </w:r>
    </w:p>
    <w:p>
      <w:pPr>
        <w:pStyle w:val="Normal"/>
        <w:numPr>
          <w:ilvl w:val="0"/>
          <w:numId w:val="11"/>
        </w:numPr>
        <w:suppressAutoHyphens w:val="true"/>
        <w:spacing w:lineRule="auto" w:line="264" w:before="120" w:after="6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Poplatníkem poplatku je</w:t>
      </w:r>
      <w:r>
        <w:rPr>
          <w:rStyle w:val="Ukotvenpoznmkypodarou"/>
          <w:rFonts w:cs="Arial" w:ascii="Arial" w:hAnsi="Arial"/>
          <w:sz w:val="22"/>
          <w:szCs w:val="22"/>
        </w:rPr>
        <w:footnoteReference w:id="4"/>
      </w:r>
      <w:r>
        <w:rPr>
          <w:rFonts w:cs="Arial" w:ascii="Arial" w:hAnsi="Arial"/>
          <w:sz w:val="22"/>
          <w:szCs w:val="22"/>
        </w:rPr>
        <w:t>:</w:t>
      </w:r>
    </w:p>
    <w:p>
      <w:pPr>
        <w:pStyle w:val="Default"/>
        <w:spacing w:before="0"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a) fyzická osoba přihlášená v obci</w:t>
      </w:r>
      <w:r>
        <w:rPr>
          <w:rStyle w:val="Ukotvenpoznmkypodarou"/>
          <w:sz w:val="22"/>
          <w:szCs w:val="22"/>
        </w:rPr>
        <w:footnoteReference w:id="5"/>
      </w:r>
      <w:r>
        <w:rPr>
          <w:sz w:val="22"/>
          <w:szCs w:val="22"/>
        </w:rPr>
        <w:t xml:space="preserve"> nebo </w:t>
      </w:r>
    </w:p>
    <w:p>
      <w:pPr>
        <w:pStyle w:val="Default"/>
        <w:ind w:left="567" w:hang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>
      <w:pPr>
        <w:pStyle w:val="Normal"/>
        <w:numPr>
          <w:ilvl w:val="0"/>
          <w:numId w:val="8"/>
        </w:numPr>
        <w:suppressAutoHyphens w:val="true"/>
        <w:spacing w:lineRule="auto" w:line="264" w:before="120" w:after="6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6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3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Ohlašovací povinnost</w:t>
      </w:r>
    </w:p>
    <w:p>
      <w:pPr>
        <w:pStyle w:val="Normal"/>
        <w:numPr>
          <w:ilvl w:val="0"/>
          <w:numId w:val="6"/>
        </w:numPr>
        <w:spacing w:lineRule="auto" w:line="264" w:before="120" w:after="0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cs="Arial" w:ascii="Arial" w:hAnsi="Arial"/>
          <w:sz w:val="22"/>
          <w:szCs w:val="22"/>
        </w:rPr>
        <w:t>Poplatník je povinen podat správci poplatku ohlášení nejpozději do 15 dnů ode dne vzniku své poplatkové povinnosti; údaje uváděné v ohlášení upravuje zákon.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7"/>
      </w:r>
    </w:p>
    <w:p>
      <w:pPr>
        <w:pStyle w:val="Normal"/>
        <w:numPr>
          <w:ilvl w:val="0"/>
          <w:numId w:val="6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8"/>
      </w:r>
    </w:p>
    <w:p>
      <w:pPr>
        <w:pStyle w:val="Slalnk"/>
        <w:spacing w:before="480" w:after="60"/>
        <w:rPr>
          <w:rFonts w:ascii="Arial" w:hAnsi="Arial" w:cs="Arial"/>
          <w:i/>
          <w:i/>
        </w:rPr>
      </w:pPr>
      <w:r>
        <w:rPr>
          <w:rFonts w:cs="Arial" w:ascii="Arial" w:hAnsi="Arial"/>
        </w:rPr>
        <w:t>Čl. 4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Sazba poplatku</w:t>
      </w:r>
    </w:p>
    <w:p>
      <w:pPr>
        <w:pStyle w:val="Normal"/>
        <w:numPr>
          <w:ilvl w:val="0"/>
          <w:numId w:val="3"/>
        </w:numPr>
        <w:spacing w:lineRule="auto" w:line="264" w:before="120" w:after="60"/>
        <w:jc w:val="both"/>
        <w:rPr>
          <w:rFonts w:ascii="Arial" w:hAnsi="Arial" w:cs="Arial"/>
          <w:i/>
          <w:i/>
          <w:color w:val="0070C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Sazba poplatku činí</w:t>
      </w:r>
      <w:r>
        <w:rPr>
          <w:rFonts w:cs="Arial" w:ascii="Arial" w:hAnsi="Arial"/>
          <w:sz w:val="22"/>
          <w:szCs w:val="22"/>
        </w:rPr>
        <w:t>1 100</w:t>
      </w:r>
      <w:r>
        <w:rPr>
          <w:rFonts w:cs="Arial" w:ascii="Arial" w:hAnsi="Arial"/>
          <w:sz w:val="22"/>
          <w:szCs w:val="22"/>
          <w:highlight w:val="magenta"/>
        </w:rPr>
        <w:t xml:space="preserve"> K</w:t>
      </w:r>
      <w:r>
        <w:rPr>
          <w:rFonts w:cs="Arial" w:ascii="Arial" w:hAnsi="Arial"/>
          <w:sz w:val="22"/>
          <w:szCs w:val="22"/>
        </w:rPr>
        <w:t>č.</w:t>
      </w:r>
    </w:p>
    <w:p>
      <w:pPr>
        <w:pStyle w:val="Normal"/>
        <w:numPr>
          <w:ilvl w:val="0"/>
          <w:numId w:val="3"/>
        </w:numPr>
        <w:spacing w:lineRule="auto" w:line="264"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Poplatek se v případě, že poplatková povinnost vznikla z důvodu přihlášení fyzické osoby v obci, snižuje o jednu dvanáctinu </w:t>
      </w:r>
      <w:bookmarkStart w:id="0" w:name="_Hlk141031074"/>
      <w:r>
        <w:rPr>
          <w:rFonts w:cs="Arial" w:ascii="Arial" w:hAnsi="Arial"/>
          <w:sz w:val="22"/>
          <w:szCs w:val="22"/>
        </w:rPr>
        <w:t>za každý kalendářní měsíc</w:t>
      </w:r>
      <w:bookmarkEnd w:id="0"/>
      <w:r>
        <w:rPr>
          <w:rFonts w:cs="Arial" w:ascii="Arial" w:hAnsi="Arial"/>
          <w:sz w:val="22"/>
          <w:szCs w:val="22"/>
        </w:rPr>
        <w:t>, na jehož konci</w:t>
      </w:r>
      <w:r>
        <w:rPr>
          <w:rStyle w:val="Ukotvenpoznmkypodarou"/>
          <w:rFonts w:cs="Arial" w:ascii="Arial" w:hAnsi="Arial"/>
          <w:sz w:val="22"/>
          <w:szCs w:val="22"/>
        </w:rPr>
        <w:footnoteReference w:id="9"/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a) není tato fyzická osoba přihlášena v obci, nebo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je tato fyzická osoba od poplatku osvobozena.</w:t>
      </w:r>
    </w:p>
    <w:p>
      <w:pPr>
        <w:pStyle w:val="Normal"/>
        <w:numPr>
          <w:ilvl w:val="0"/>
          <w:numId w:val="3"/>
        </w:numPr>
        <w:spacing w:lineRule="auto" w:line="264"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0"/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a) je v této nemovité věci přihlášena alespoň 1 fyzická osoba,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poplatník nevlastní tuto nemovitou věc, nebo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i/>
          <w:i/>
          <w:color w:val="0070C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je poplatník od poplatku osvobozen</w:t>
      </w:r>
      <w:r>
        <w:rPr>
          <w:rFonts w:cs="Arial" w:ascii="Arial" w:hAnsi="Arial"/>
          <w:i/>
          <w:color w:val="0070C0"/>
          <w:sz w:val="22"/>
          <w:szCs w:val="22"/>
        </w:rPr>
        <w:t>.</w:t>
      </w:r>
    </w:p>
    <w:p>
      <w:pPr>
        <w:pStyle w:val="Normal"/>
        <w:spacing w:before="120" w:after="0"/>
        <w:rPr>
          <w:rFonts w:ascii="Arial" w:hAnsi="Arial" w:cs="Arial"/>
          <w:i/>
          <w:i/>
          <w:color w:val="0070C0"/>
          <w:sz w:val="22"/>
          <w:szCs w:val="22"/>
        </w:rPr>
      </w:pPr>
      <w:r>
        <w:rPr>
          <w:rFonts w:cs="Arial" w:ascii="Arial" w:hAnsi="Arial"/>
          <w:i/>
          <w:color w:val="0070C0"/>
          <w:sz w:val="22"/>
          <w:szCs w:val="22"/>
        </w:rPr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5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Splatnost poplatku</w:t>
      </w:r>
    </w:p>
    <w:p>
      <w:pPr>
        <w:pStyle w:val="Normal"/>
        <w:numPr>
          <w:ilvl w:val="0"/>
          <w:numId w:val="4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Poplatek je splatný jednorázově, a to nejpozději do </w:t>
      </w:r>
      <w:r>
        <w:rPr>
          <w:rFonts w:cs="Arial" w:ascii="Arial" w:hAnsi="Arial"/>
          <w:sz w:val="22"/>
          <w:szCs w:val="22"/>
        </w:rPr>
        <w:t>31</w:t>
      </w:r>
      <w:r>
        <w:rPr>
          <w:rFonts w:cs="Arial" w:ascii="Arial" w:hAnsi="Arial"/>
          <w:sz w:val="22"/>
          <w:szCs w:val="22"/>
        </w:rPr>
        <w:t xml:space="preserve">. </w:t>
      </w:r>
      <w:r>
        <w:rPr>
          <w:rFonts w:cs="Arial" w:ascii="Arial" w:hAnsi="Arial"/>
          <w:sz w:val="22"/>
          <w:szCs w:val="22"/>
        </w:rPr>
        <w:t>března</w:t>
      </w:r>
      <w:r>
        <w:rPr>
          <w:rFonts w:cs="Arial" w:ascii="Arial" w:hAnsi="Arial"/>
          <w:sz w:val="22"/>
          <w:szCs w:val="22"/>
        </w:rPr>
        <w:t xml:space="preserve"> příslušného kalendářního roku. </w:t>
      </w:r>
    </w:p>
    <w:p>
      <w:pPr>
        <w:pStyle w:val="Normal"/>
        <w:numPr>
          <w:ilvl w:val="0"/>
          <w:numId w:val="4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Vznikne-li poplatková povinnost po datu splatnosti uvedeném v odstavci 1, je poplatek splatný nejpozději do patnáctého dne měsíce, který následuje po měsíci, ve kterém poplatková povinnost vznikla. </w:t>
      </w:r>
    </w:p>
    <w:p>
      <w:pPr>
        <w:pStyle w:val="Normal"/>
        <w:numPr>
          <w:ilvl w:val="0"/>
          <w:numId w:val="4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Lhůta splatnosti neskončí poplatníkovi dříve než lhůta pro podání ohlášení podle čl. 3 odst. 1 této vyhlášky. </w:t>
      </w:r>
    </w:p>
    <w:p>
      <w:pPr>
        <w:pStyle w:val="Normal"/>
        <w:jc w:val="both"/>
        <w:rPr>
          <w:rFonts w:ascii="Arial" w:hAnsi="Arial" w:cs="Arial"/>
          <w:i/>
          <w:i/>
          <w:color w:val="0070C0"/>
          <w:sz w:val="20"/>
          <w:szCs w:val="20"/>
          <w:u w:val="single"/>
        </w:rPr>
      </w:pPr>
      <w:r>
        <w:rPr>
          <w:rFonts w:cs="Arial" w:ascii="Arial" w:hAnsi="Arial"/>
          <w:i/>
          <w:color w:val="0070C0"/>
          <w:sz w:val="20"/>
          <w:szCs w:val="20"/>
          <w:u w:val="single"/>
        </w:rPr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6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 xml:space="preserve">Osvobození </w:t>
      </w:r>
    </w:p>
    <w:p>
      <w:pPr>
        <w:pStyle w:val="Default"/>
        <w:numPr>
          <w:ilvl w:val="0"/>
          <w:numId w:val="5"/>
        </w:numPr>
        <w:spacing w:lineRule="auto" w:line="264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Ukotvenpoznmkypodarou"/>
          <w:sz w:val="22"/>
          <w:szCs w:val="22"/>
        </w:rPr>
        <w:footnoteReference w:id="11"/>
      </w:r>
      <w:r>
        <w:rPr>
          <w:sz w:val="22"/>
          <w:szCs w:val="22"/>
        </w:rPr>
        <w:t xml:space="preserve"> </w:t>
      </w:r>
    </w:p>
    <w:p>
      <w:pPr>
        <w:pStyle w:val="Default"/>
        <w:spacing w:lineRule="auto" w:line="264" w:before="120" w:after="60"/>
        <w:ind w:left="567" w:hanging="0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>
      <w:pPr>
        <w:pStyle w:val="Default"/>
        <w:spacing w:lineRule="auto" w:line="264" w:before="120" w:after="60"/>
        <w:ind w:left="567" w:hanging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>
      <w:pPr>
        <w:pStyle w:val="Default"/>
        <w:spacing w:lineRule="auto" w:line="264" w:before="120" w:after="60"/>
        <w:ind w:left="567" w:hanging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>
      <w:pPr>
        <w:pStyle w:val="Default"/>
        <w:spacing w:lineRule="auto" w:line="264" w:before="120" w:after="60"/>
        <w:ind w:left="567" w:hanging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>
      <w:pPr>
        <w:pStyle w:val="Default"/>
        <w:spacing w:lineRule="auto" w:line="264" w:before="120" w:after="60"/>
        <w:ind w:left="567" w:hanging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>
      <w:pPr>
        <w:pStyle w:val="ListParagraph"/>
        <w:numPr>
          <w:ilvl w:val="0"/>
          <w:numId w:val="5"/>
        </w:numPr>
        <w:spacing w:lineRule="auto" w:line="264" w:before="120" w:after="0"/>
        <w:jc w:val="both"/>
        <w:rPr>
          <w:rFonts w:ascii="Arial" w:hAnsi="Arial" w:cs="Arial"/>
        </w:rPr>
      </w:pPr>
      <w:r>
        <w:rPr>
          <w:rFonts w:cs="Arial" w:ascii="Arial" w:hAnsi="Arial"/>
        </w:rPr>
        <w:t>Od poplatku se osvobozuje osoba, které poplatková povinnost vznikla z důvodu přihlášení v obci a která</w:t>
      </w:r>
    </w:p>
    <w:p>
      <w:pPr>
        <w:pStyle w:val="Normal"/>
        <w:numPr>
          <w:ilvl w:val="1"/>
          <w:numId w:val="12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má místo pobytu v sídle ohlašovny</w:t>
      </w:r>
      <w:r>
        <w:rPr>
          <w:rStyle w:val="Ukotvenpoznmkypodarou"/>
          <w:rFonts w:cs="Arial" w:ascii="Arial" w:hAnsi="Arial"/>
          <w:sz w:val="22"/>
          <w:szCs w:val="22"/>
          <w:vertAlign w:val="superscript"/>
        </w:rPr>
        <w:footnoteReference w:id="12"/>
      </w:r>
      <w:r>
        <w:rPr>
          <w:rFonts w:cs="Arial" w:ascii="Arial" w:hAnsi="Arial"/>
          <w:sz w:val="22"/>
          <w:szCs w:val="22"/>
        </w:rPr>
        <w:t>, pokud se celý rok zdržuje mimo území obce,</w:t>
      </w:r>
    </w:p>
    <w:p>
      <w:pPr>
        <w:pStyle w:val="Normal"/>
        <w:numPr>
          <w:ilvl w:val="1"/>
          <w:numId w:val="9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je zároveň poplatníkem dle čl. 2 odst. 1 písm. b), a to od poplatku dle čl. 2 odst. 1 písm. b) za podmínky, že i ostatní případní spoluvlastnici jsou přihlášeni k pobytu v obci.</w:t>
      </w:r>
    </w:p>
    <w:p>
      <w:pPr>
        <w:pStyle w:val="Normal"/>
        <w:spacing w:lineRule="auto" w:line="264" w:before="120" w:after="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(3)</w:t>
        <w:tab/>
        <w:t>V případě, že poplatník nesplní povinnost ohlásit údaj rozhodný pro osvobození ve lhůtách stanovených touto vyhláškou nebo zákonem, nárok na osvobození zaniká.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3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7</w:t>
      </w:r>
    </w:p>
    <w:p>
      <w:pPr>
        <w:pStyle w:val="Nzvylnk"/>
        <w:tabs>
          <w:tab w:val="clear" w:pos="708"/>
          <w:tab w:val="left" w:pos="3015" w:leader="none"/>
          <w:tab w:val="center" w:pos="4536" w:leader="none"/>
        </w:tabs>
        <w:rPr>
          <w:rFonts w:ascii="Arial" w:hAnsi="Arial" w:cs="Arial"/>
        </w:rPr>
      </w:pPr>
      <w:r>
        <w:rPr>
          <w:rFonts w:cs="Arial" w:ascii="Arial" w:hAnsi="Arial"/>
        </w:rPr>
        <w:t>Přechodné a zrušovací ustanovení</w:t>
      </w:r>
    </w:p>
    <w:p>
      <w:pPr>
        <w:pStyle w:val="Normal"/>
        <w:numPr>
          <w:ilvl w:val="0"/>
          <w:numId w:val="13"/>
        </w:numPr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Poplatkové povinnosti vzniklé před nabytím účinnosti této vyhlášky se posuzují podle dosavadních právních předpisů.</w:t>
      </w:r>
    </w:p>
    <w:p>
      <w:pPr>
        <w:pStyle w:val="Normal"/>
        <w:numPr>
          <w:ilvl w:val="0"/>
          <w:numId w:val="7"/>
        </w:numPr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Ruší se obecně závazná vyhláška č. </w:t>
      </w:r>
      <w:r>
        <w:rPr>
          <w:rFonts w:cs="Arial" w:ascii="Arial" w:hAnsi="Arial"/>
          <w:sz w:val="22"/>
          <w:szCs w:val="22"/>
        </w:rPr>
        <w:t>3</w:t>
      </w:r>
      <w:r>
        <w:rPr>
          <w:rFonts w:cs="Arial" w:ascii="Arial" w:hAnsi="Arial"/>
          <w:sz w:val="22"/>
          <w:szCs w:val="22"/>
        </w:rPr>
        <w:t>/202</w:t>
      </w:r>
      <w:r>
        <w:rPr>
          <w:rFonts w:cs="Arial" w:ascii="Arial" w:hAnsi="Arial"/>
          <w:sz w:val="22"/>
          <w:szCs w:val="22"/>
        </w:rPr>
        <w:t>3</w:t>
      </w:r>
      <w:r>
        <w:rPr>
          <w:rFonts w:cs="Arial" w:ascii="Arial" w:hAnsi="Arial"/>
          <w:sz w:val="22"/>
          <w:szCs w:val="22"/>
        </w:rPr>
        <w:t xml:space="preserve">, o místním poplatku za obecní systém odpadového hospodářství, ze dne </w:t>
      </w:r>
      <w:r>
        <w:rPr>
          <w:rFonts w:cs="Arial" w:ascii="Arial" w:hAnsi="Arial"/>
          <w:sz w:val="22"/>
          <w:szCs w:val="22"/>
        </w:rPr>
        <w:t>27.11.2023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8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Účinnost</w:t>
      </w:r>
    </w:p>
    <w:p>
      <w:pPr>
        <w:pStyle w:val="Normal"/>
        <w:ind w:left="708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vyhláška nabývá účinnosti dnem 1. 1. 202</w:t>
      </w:r>
      <w:r>
        <w:rPr>
          <w:rFonts w:cs="Arial" w:ascii="Arial" w:hAnsi="Arial"/>
          <w:sz w:val="22"/>
          <w:szCs w:val="22"/>
        </w:rPr>
        <w:t>5</w:t>
      </w:r>
      <w:r>
        <w:rPr>
          <w:rFonts w:cs="Arial" w:ascii="Arial" w:hAnsi="Arial"/>
          <w:sz w:val="22"/>
          <w:szCs w:val="22"/>
        </w:rPr>
        <w:t>.</w:t>
      </w:r>
    </w:p>
    <w:p>
      <w:pPr>
        <w:pStyle w:val="Normal"/>
        <w:ind w:left="708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708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708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708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76"/>
        <w:jc w:val="both"/>
        <w:rPr>
          <w:rFonts w:ascii="Arial" w:hAnsi="Arial" w:cs="Arial"/>
        </w:rPr>
      </w:pPr>
      <w:r>
        <w:rPr>
          <w:rFonts w:cs="Arial" w:ascii="Arial" w:hAnsi="Arial"/>
        </w:rPr>
        <w:t>…………………………………</w:t>
      </w:r>
      <w:r>
        <w:rPr>
          <w:rFonts w:cs="Arial" w:ascii="Arial" w:hAnsi="Arial"/>
        </w:rPr>
        <w:t>..</w:t>
        <w:tab/>
        <w:tab/>
        <w:tab/>
        <w:tab/>
        <w:t>…………………………………</w:t>
      </w:r>
    </w:p>
    <w:p>
      <w:pPr>
        <w:pStyle w:val="Normal"/>
        <w:tabs>
          <w:tab w:val="clear" w:pos="708"/>
          <w:tab w:val="center" w:pos="1701" w:leader="none"/>
          <w:tab w:val="center" w:pos="7371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</w:rPr>
        <w:tab/>
      </w:r>
      <w:r>
        <w:rPr>
          <w:rFonts w:cs="Arial" w:ascii="Arial" w:hAnsi="Arial"/>
          <w:sz w:val="22"/>
          <w:szCs w:val="22"/>
        </w:rPr>
        <w:t>František Matěna v. r.</w:t>
        <w:tab/>
        <w:t>Stanislav Špás v. r.</w:t>
      </w:r>
    </w:p>
    <w:p>
      <w:pPr>
        <w:pStyle w:val="Normal"/>
        <w:tabs>
          <w:tab w:val="clear" w:pos="708"/>
          <w:tab w:val="center" w:pos="1701" w:leader="none"/>
          <w:tab w:val="center" w:pos="7371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 xml:space="preserve">starosta </w:t>
        <w:tab/>
        <w:t>místostarosta</w:t>
      </w:r>
    </w:p>
    <w:p>
      <w:pPr>
        <w:pStyle w:val="Normal"/>
        <w:tabs>
          <w:tab w:val="clear" w:pos="708"/>
          <w:tab w:val="center" w:pos="1701" w:leader="none"/>
          <w:tab w:val="center" w:pos="7371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440" w:leader="none"/>
          <w:tab w:val="left" w:pos="702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3780" w:leader="none"/>
        </w:tabs>
        <w:jc w:val="both"/>
        <w:rPr>
          <w:rFonts w:ascii="Arial" w:hAnsi="Arial" w:cs="Arial"/>
          <w:sz w:val="22"/>
          <w:szCs w:val="22"/>
        </w:rPr>
      </w:pPr>
      <w:r>
        <w:rPr/>
      </w:r>
    </w:p>
    <w:sectPr>
      <w:footerReference w:type="default" r:id="rId4"/>
      <w:footnotePr>
        <w:numFmt w:val="decimal"/>
      </w:footnotePr>
      <w:type w:val="nextPage"/>
      <w:pgSz w:w="11906" w:h="16838"/>
      <w:pgMar w:left="1417" w:right="1417" w:gutter="0" w:header="0" w:top="993" w:footer="708" w:bottom="99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Cambria">
    <w:charset w:val="ee"/>
    <w:family w:val="swiss"/>
    <w:pitch w:val="variable"/>
  </w:font>
  <w:font w:name="Calibri">
    <w:charset w:val="ee"/>
    <w:family w:val="roman"/>
    <w:pitch w:val="variable"/>
  </w:font>
  <w:font w:name="Arial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pat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  <w:p>
    <w:pPr>
      <w:pStyle w:val="Zpat"/>
      <w:rPr/>
    </w:pPr>
    <w:r>
      <w:rPr/>
    </w:r>
  </w:p>
  <w:p>
    <w:pPr>
      <w:pStyle w:val="Normal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10o odst. 1 zákona o místních poplatcích</w:t>
      </w:r>
    </w:p>
  </w:footnote>
  <w:footnote w:id="3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15 odst. 1 zákona, o místních poplatcích</w:t>
      </w:r>
    </w:p>
  </w:footnote>
  <w:footnote w:id="4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</w:rPr>
        <w:t xml:space="preserve"> </w:t>
      </w:r>
      <w:r>
        <w:rPr>
          <w:rStyle w:val="FootnoteCharacters"/>
        </w:rPr>
        <w:t>§</w:t>
      </w:r>
      <w:r>
        <w:rPr>
          <w:rFonts w:cs="Arial" w:ascii="Arial" w:hAnsi="Arial"/>
          <w:sz w:val="18"/>
          <w:szCs w:val="18"/>
        </w:rPr>
        <w:t xml:space="preserve"> 10e zákona o místních poplatcích</w:t>
      </w:r>
    </w:p>
  </w:footnote>
  <w:footnote w:id="5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</w:rPr>
        <w:t xml:space="preserve"> </w:t>
      </w:r>
      <w:r>
        <w:rPr>
          <w:rFonts w:cs="Arial" w:ascii="Arial" w:hAnsi="Arial"/>
          <w:sz w:val="18"/>
          <w:szCs w:val="18"/>
        </w:rPr>
        <w:t xml:space="preserve">Za přihlášení fyzické osoby se podle § 16c zákona o místních poplatcích považuje </w:t>
      </w:r>
    </w:p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a) přihlášení k trvalému pobytu podle zákona o evidenci obyvatel, nebo  </w:t>
      </w:r>
    </w:p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1. kterému byl povolen trvalý pobyt,</w:t>
      </w:r>
    </w:p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2. který na území České republiky pobývá přechodně po dobu delší než 3 měsíce,</w:t>
      </w:r>
    </w:p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4. kterému byla udělena mezinárodní ochrana nebo jde o cizince požívajícího dočasné ochrany cizinců.</w:t>
      </w:r>
    </w:p>
  </w:footnote>
  <w:footnote w:id="6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Style w:val="FootnoteCharacters"/>
        </w:rPr>
        <w:t>§</w:t>
      </w:r>
      <w:r>
        <w:rPr>
          <w:rFonts w:cs="Arial" w:ascii="Arial" w:hAnsi="Arial"/>
          <w:sz w:val="18"/>
          <w:szCs w:val="18"/>
        </w:rPr>
        <w:t xml:space="preserve"> 10p zákona o místních poplatcích</w:t>
      </w:r>
    </w:p>
  </w:footnote>
  <w:footnote w:id="7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8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4 zákona o místních poplatcích</w:t>
      </w:r>
    </w:p>
  </w:footnote>
  <w:footnote w:id="9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 </w:t>
      </w:r>
      <w:r>
        <w:rPr>
          <w:rFonts w:cs="Arial" w:ascii="Arial" w:hAnsi="Arial"/>
          <w:sz w:val="18"/>
          <w:szCs w:val="18"/>
        </w:rPr>
        <w:t>§ 10h odst. 2 ve spojení s § 10o odst. 2 zákona o místních poplatcích</w:t>
      </w:r>
    </w:p>
  </w:footnote>
  <w:footnote w:id="10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10h odst. 3 ve spojení s § 10o odst. 2 zákona o místních poplatcích</w:t>
      </w:r>
    </w:p>
  </w:footnote>
  <w:footnote w:id="11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10g zákona o místních poplatcích</w:t>
      </w:r>
    </w:p>
  </w:footnote>
  <w:footnote w:id="12">
    <w:p>
      <w:pPr>
        <w:pStyle w:val="Poznmkapodarou"/>
        <w:tabs>
          <w:tab w:val="clear" w:pos="708"/>
          <w:tab w:val="left" w:pos="426" w:leader="none"/>
        </w:tabs>
        <w:ind w:left="426" w:hanging="426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6"/>
          <w:szCs w:val="16"/>
        </w:rPr>
        <w:tab/>
        <w:t xml:space="preserve"> </w:t>
      </w:r>
      <w:r>
        <w:rPr>
          <w:rFonts w:cs="Arial" w:ascii="Arial" w:hAnsi="Arial"/>
          <w:sz w:val="16"/>
          <w:szCs w:val="16"/>
        </w:rPr>
        <w:t>§</w:t>
      </w:r>
      <w:r>
        <w:rPr>
          <w:rFonts w:cs="Arial" w:ascii="Arial" w:hAnsi="Arial"/>
          <w:sz w:val="18"/>
          <w:szCs w:val="18"/>
        </w:rPr>
        <w:t xml:space="preserve"> 10 odst. 5 a § 12 zákona č. 133/2000 Sb., o evidenci obyvatel a rodných číslech, ve znění pozdějších předpisů</w:t>
      </w:r>
    </w:p>
  </w:footnote>
  <w:footnote w:id="13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6 zákona o</w:t>
      </w:r>
      <w:bookmarkStart w:id="1" w:name="_GoBack1"/>
      <w:bookmarkEnd w:id="1"/>
      <w:r>
        <w:rPr>
          <w:rFonts w:cs="Arial" w:ascii="Arial" w:hAnsi="Arial"/>
          <w:sz w:val="18"/>
          <w:szCs w:val="18"/>
        </w:rPr>
        <w:t xml:space="preserve"> 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i w:val="false"/>
        <w:b w:val="fals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i w:val="false"/>
        <w:b w:val="false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i w:val="false"/>
        <w:b w:val="fals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i w:val="false"/>
        <w:b w:val="fals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i w:val="false"/>
        <w:b w:val="false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outline w:val="false"/>
        <w:dstrike w:val="false"/>
        <w:strike w:val="false"/>
        <w:vertAlign w:val="baseline"/>
        <w:position w:val="0"/>
        <w:sz w:val="20"/>
        <w:i w:val="false"/>
        <w:shadow w:val="false"/>
        <w:u w:val="none"/>
        <w:b w:val="false"/>
        <w:effect w:val="none"/>
        <w:emboss w:val="false"/>
        <w:imprint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8">
    <w:lvl w:ilvl="0">
      <w:start w:val="1"/>
      <w:numFmt w:val="decimal"/>
      <w:lvlText w:val="(%1)"/>
      <w:lvlJc w:val="left"/>
      <w:pPr>
        <w:tabs>
          <w:tab w:val="num" w:pos="0"/>
        </w:tabs>
        <w:ind w:left="1353" w:hanging="360"/>
      </w:pPr>
      <w:rPr/>
    </w:lvl>
    <w:lvl w:ilvl="1">
      <w:start w:val="1"/>
      <w:numFmt w:val="lowerLetter"/>
      <w:lvlText w:val="%2)"/>
      <w:lvlJc w:val="left"/>
      <w:pPr>
        <w:tabs>
          <w:tab w:val="num" w:pos="0"/>
        </w:tabs>
        <w:ind w:left="2007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  <w:rPr/>
    </w:lvl>
  </w:abstractNum>
  <w:abstractNum w:abstractNumId="9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u w:val="none"/>
        <w:b w:val="false"/>
        <w:effect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8"/>
    <w:lvlOverride w:ilvl="0">
      <w:startOverride w:val="1"/>
    </w:lvlOverride>
  </w:num>
  <w:num w:numId="12">
    <w:abstractNumId w:val="9"/>
    <w:lvlOverride w:ilvl="0"/>
    <w:lvlOverride w:ilvl="1">
      <w:startOverride w:val="1"/>
    </w:lvlOverride>
  </w:num>
  <w:num w:numId="13">
    <w:abstractNumId w:val="7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31160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Nadpis2">
    <w:name w:val="Heading 2"/>
    <w:basedOn w:val="Normal"/>
    <w:next w:val="Normal"/>
    <w:link w:val="Nadpis2Char"/>
    <w:qFormat/>
    <w:rsid w:val="00131160"/>
    <w:pPr>
      <w:keepNext w:val="true"/>
      <w:jc w:val="both"/>
      <w:outlineLvl w:val="1"/>
    </w:pPr>
    <w:rPr>
      <w:u w:val="single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Nadpis2Char" w:customStyle="1">
    <w:name w:val="Nadpis 2 Char"/>
    <w:semiHidden/>
    <w:qFormat/>
    <w:rsid w:val="00131160"/>
    <w:rPr>
      <w:sz w:val="24"/>
      <w:szCs w:val="24"/>
      <w:u w:val="single"/>
      <w:lang w:val="cs-CZ" w:eastAsia="cs-CZ" w:bidi="ar-SA"/>
    </w:rPr>
  </w:style>
  <w:style w:type="character" w:styleId="ZkladntextodsazenChar" w:customStyle="1">
    <w:name w:val="Základní text odsazený Char"/>
    <w:semiHidden/>
    <w:qFormat/>
    <w:rsid w:val="00131160"/>
    <w:rPr>
      <w:sz w:val="24"/>
      <w:szCs w:val="24"/>
      <w:lang w:val="cs-CZ" w:eastAsia="cs-CZ" w:bidi="ar-SA"/>
    </w:rPr>
  </w:style>
  <w:style w:type="character" w:styleId="ZhlavChar" w:customStyle="1">
    <w:name w:val="Záhlaví Char"/>
    <w:semiHidden/>
    <w:qFormat/>
    <w:rsid w:val="00131160"/>
    <w:rPr>
      <w:sz w:val="24"/>
      <w:szCs w:val="24"/>
      <w:lang w:val="cs-CZ" w:eastAsia="cs-CZ" w:bidi="ar-SA"/>
    </w:rPr>
  </w:style>
  <w:style w:type="character" w:styleId="ZkladntextChar" w:customStyle="1">
    <w:name w:val="Základní text Char"/>
    <w:qFormat/>
    <w:rsid w:val="00131160"/>
    <w:rPr>
      <w:sz w:val="24"/>
      <w:szCs w:val="24"/>
      <w:lang w:val="cs-CZ" w:eastAsia="cs-CZ" w:bidi="ar-SA"/>
    </w:rPr>
  </w:style>
  <w:style w:type="character" w:styleId="TextpoznpodarouChar" w:customStyle="1">
    <w:name w:val="Text pozn. pod čarou Char"/>
    <w:semiHidden/>
    <w:qFormat/>
    <w:rsid w:val="00131160"/>
    <w:rPr>
      <w:lang w:val="cs-CZ" w:eastAsia="cs-CZ" w:bidi="ar-SA"/>
    </w:rPr>
  </w:style>
  <w:style w:type="character" w:styleId="Ukotvenpoznmkypodarou" w:customStyle="1">
    <w:name w:val="Ukotvení poznámky pod čarou"/>
    <w:rsid w:val="00e33f00"/>
    <w:rPr>
      <w:vertAlign w:val="superscript"/>
    </w:rPr>
  </w:style>
  <w:style w:type="character" w:styleId="FootnoteCharacters" w:customStyle="1">
    <w:name w:val="Footnote Characters"/>
    <w:semiHidden/>
    <w:qFormat/>
    <w:rsid w:val="00e33f00"/>
    <w:rPr>
      <w:vertAlign w:val="superscript"/>
    </w:rPr>
  </w:style>
  <w:style w:type="character" w:styleId="ZpatChar" w:customStyle="1">
    <w:name w:val="Zápatí Char"/>
    <w:uiPriority w:val="99"/>
    <w:qFormat/>
    <w:rsid w:val="00b10e4f"/>
    <w:rPr>
      <w:sz w:val="24"/>
      <w:szCs w:val="24"/>
    </w:rPr>
  </w:style>
  <w:style w:type="character" w:styleId="Annotationreference">
    <w:name w:val="annotation reference"/>
    <w:qFormat/>
    <w:rsid w:val="00c119a6"/>
    <w:rPr>
      <w:sz w:val="16"/>
      <w:szCs w:val="16"/>
    </w:rPr>
  </w:style>
  <w:style w:type="character" w:styleId="TextkomenteChar" w:customStyle="1">
    <w:name w:val="Text komentáře Char"/>
    <w:basedOn w:val="DefaultParagraphFont"/>
    <w:link w:val="Annotationtext"/>
    <w:qFormat/>
    <w:rsid w:val="00c119a6"/>
    <w:rPr/>
  </w:style>
  <w:style w:type="character" w:styleId="PedmtkomenteChar" w:customStyle="1">
    <w:name w:val="Předmět komentáře Char"/>
    <w:link w:val="Annotationsubject"/>
    <w:qFormat/>
    <w:rsid w:val="00c119a6"/>
    <w:rPr>
      <w:b/>
      <w:bCs/>
    </w:rPr>
  </w:style>
  <w:style w:type="character" w:styleId="TextbublinyChar" w:customStyle="1">
    <w:name w:val="Text bubliny Char"/>
    <w:link w:val="BalloonText"/>
    <w:qFormat/>
    <w:rsid w:val="00c119a6"/>
    <w:rPr>
      <w:rFonts w:ascii="Segoe UI" w:hAnsi="Segoe UI" w:cs="Segoe UI"/>
      <w:sz w:val="18"/>
      <w:szCs w:val="18"/>
    </w:rPr>
  </w:style>
  <w:style w:type="character" w:styleId="NzevChar" w:customStyle="1">
    <w:name w:val="Název Char"/>
    <w:basedOn w:val="DefaultParagraphFont"/>
    <w:qFormat/>
    <w:rsid w:val="0021049b"/>
    <w:rPr>
      <w:rFonts w:ascii="Arial" w:hAnsi="Arial" w:cs="Arial"/>
      <w:b/>
      <w:bCs/>
      <w:kern w:val="2"/>
      <w:sz w:val="32"/>
      <w:szCs w:val="32"/>
    </w:rPr>
  </w:style>
  <w:style w:type="character" w:styleId="Znakypropoznmkupodarou" w:customStyle="1">
    <w:name w:val="Znaky pro poznámku pod čarou"/>
    <w:qFormat/>
    <w:rsid w:val="00e33f00"/>
    <w:rPr/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link w:val="ZkladntextChar"/>
    <w:rsid w:val="00131160"/>
    <w:pPr>
      <w:spacing w:before="0" w:after="120"/>
    </w:pPr>
    <w:rPr/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Odsazentlatextu">
    <w:name w:val="Body Text Indent"/>
    <w:basedOn w:val="Normal"/>
    <w:link w:val="ZkladntextodsazenChar"/>
    <w:rsid w:val="00131160"/>
    <w:pPr>
      <w:ind w:left="708" w:firstLine="357"/>
      <w:jc w:val="both"/>
    </w:pPr>
    <w:rPr/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link w:val="ZhlavChar"/>
    <w:rsid w:val="00131160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Poznmkapodarou">
    <w:name w:val="Footnote Text"/>
    <w:basedOn w:val="Normal"/>
    <w:link w:val="TextpoznpodarouChar"/>
    <w:semiHidden/>
    <w:rsid w:val="00131160"/>
    <w:pPr/>
    <w:rPr>
      <w:sz w:val="20"/>
      <w:szCs w:val="20"/>
    </w:rPr>
  </w:style>
  <w:style w:type="paragraph" w:styleId="Nzevzkona" w:customStyle="1">
    <w:name w:val="název zákona"/>
    <w:basedOn w:val="Nzev"/>
    <w:qFormat/>
    <w:rsid w:val="00131160"/>
    <w:pPr/>
    <w:rPr>
      <w:rFonts w:ascii="Cambria" w:hAnsi="Cambria" w:cs="Cambria"/>
    </w:rPr>
  </w:style>
  <w:style w:type="paragraph" w:styleId="Nzev">
    <w:name w:val="Title"/>
    <w:basedOn w:val="Normal"/>
    <w:link w:val="NzevChar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Slalnk" w:customStyle="1">
    <w:name w:val="Čísla článků"/>
    <w:basedOn w:val="Normal"/>
    <w:qFormat/>
    <w:rsid w:val="00131160"/>
    <w:pPr>
      <w:keepNext w:val="true"/>
      <w:keepLines/>
      <w:spacing w:before="360" w:after="60"/>
      <w:jc w:val="center"/>
    </w:pPr>
    <w:rPr>
      <w:b/>
      <w:bCs/>
      <w:szCs w:val="20"/>
    </w:rPr>
  </w:style>
  <w:style w:type="paragraph" w:styleId="Nzvylnk" w:customStyle="1">
    <w:name w:val="Názvy článků"/>
    <w:basedOn w:val="Slalnk"/>
    <w:qFormat/>
    <w:rsid w:val="00131160"/>
    <w:pPr>
      <w:spacing w:before="60" w:after="160"/>
    </w:pPr>
    <w:rPr/>
  </w:style>
  <w:style w:type="paragraph" w:styleId="Oddstavcevlncch" w:customStyle="1">
    <w:name w:val="Oddstavce v článcích"/>
    <w:basedOn w:val="Normal"/>
    <w:next w:val="Normal"/>
    <w:qFormat/>
    <w:rsid w:val="00131160"/>
    <w:pPr>
      <w:keepLines/>
      <w:numPr>
        <w:ilvl w:val="0"/>
        <w:numId w:val="2"/>
      </w:numPr>
      <w:spacing w:before="0" w:after="60"/>
      <w:jc w:val="both"/>
    </w:pPr>
    <w:rPr/>
  </w:style>
  <w:style w:type="paragraph" w:styleId="Zpat">
    <w:name w:val="Footer"/>
    <w:basedOn w:val="Normal"/>
    <w:link w:val="ZpatChar"/>
    <w:uiPriority w:val="99"/>
    <w:rsid w:val="00b10e4f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NormlnIMP" w:customStyle="1">
    <w:name w:val="Normální_IMP"/>
    <w:basedOn w:val="Normal"/>
    <w:qFormat/>
    <w:rsid w:val="00c67504"/>
    <w:pPr>
      <w:suppressAutoHyphens w:val="true"/>
      <w:overflowPunct w:val="true"/>
      <w:spacing w:lineRule="auto" w:line="228"/>
      <w:jc w:val="both"/>
      <w:textAlignment w:val="baseline"/>
    </w:pPr>
    <w:rPr>
      <w:szCs w:val="20"/>
    </w:rPr>
  </w:style>
  <w:style w:type="paragraph" w:styleId="Default" w:customStyle="1">
    <w:name w:val="Default"/>
    <w:qFormat/>
    <w:rsid w:val="00650483"/>
    <w:pPr>
      <w:widowControl/>
      <w:bidi w:val="0"/>
      <w:spacing w:before="0" w:after="0"/>
      <w:jc w:val="left"/>
    </w:pPr>
    <w:rPr>
      <w:rFonts w:ascii="Arial" w:hAnsi="Arial" w:cs="Arial" w:eastAsia="Times New Roman"/>
      <w:color w:val="000000"/>
      <w:kern w:val="0"/>
      <w:sz w:val="24"/>
      <w:szCs w:val="24"/>
      <w:lang w:val="cs-CZ" w:eastAsia="cs-CZ" w:bidi="ar-SA"/>
    </w:rPr>
  </w:style>
  <w:style w:type="paragraph" w:styleId="Annotationtext">
    <w:name w:val="annotation text"/>
    <w:basedOn w:val="Normal"/>
    <w:link w:val="TextkomenteChar"/>
    <w:qFormat/>
    <w:rsid w:val="00c119a6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PedmtkomenteChar"/>
    <w:qFormat/>
    <w:rsid w:val="00c119a6"/>
    <w:pPr/>
    <w:rPr>
      <w:b/>
      <w:bCs/>
    </w:rPr>
  </w:style>
  <w:style w:type="paragraph" w:styleId="BalloonText">
    <w:name w:val="Balloon Text"/>
    <w:basedOn w:val="Normal"/>
    <w:link w:val="TextbublinyChar"/>
    <w:qFormat/>
    <w:rsid w:val="00c119a6"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8283d"/>
    <w:pPr>
      <w:ind w:left="720" w:hanging="0"/>
    </w:pPr>
    <w:rPr>
      <w:rFonts w:ascii="Calibri" w:hAnsi="Calibri" w:eastAsia="Calibri" w:cs="Calibri"/>
      <w:sz w:val="22"/>
      <w:szCs w:val="22"/>
      <w:lang w:eastAsia="en-US"/>
    </w:rPr>
  </w:style>
  <w:style w:type="paragraph" w:styleId="Revision">
    <w:name w:val="Revision"/>
    <w:uiPriority w:val="99"/>
    <w:semiHidden/>
    <w:qFormat/>
    <w:rsid w:val="00746ae3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commons.wikimedia.org/wiki/File:Sendra&#382;ice_CoA.png" TargetMode="External"/><Relationship Id="rId4" Type="http://schemas.openxmlformats.org/officeDocument/2006/relationships/footer" Target="footer1.xml"/><Relationship Id="rId5" Type="http://schemas.openxmlformats.org/officeDocument/2006/relationships/footnotes" Target="footnotes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0E12F0-AB40-4D42-9226-B9D79A9E9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LibreOffice/7.3.4.2$Windows_X86_64 LibreOffice_project/728fec16bd5f605073805c3c9e7c4212a0120dc5</Application>
  <AppVersion>15.0000</AppVersion>
  <Pages>4</Pages>
  <Words>933</Words>
  <Characters>4989</Characters>
  <CharactersWithSpaces>5863</CharactersWithSpaces>
  <Paragraphs>77</Paragraphs>
  <Company>Ministerstvo financí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2023-10-26T07:34:00Z</dcterms:created>
  <dc:creator>Mgr. Lukáš Toman</dc:creator>
  <dc:description/>
  <dc:language>cs-CZ</dc:language>
  <cp:lastModifiedBy/>
  <cp:lastPrinted>2024-12-13T09:39:17Z</cp:lastPrinted>
  <dcterms:modified xsi:type="dcterms:W3CDTF">2024-12-12T13:16:04Z</dcterms:modified>
  <cp:revision>3</cp:revision>
  <dc:subject/>
  <dc:title>Metodický materiál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