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BF" w:rsidRDefault="00F745D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MĚSTO VOTICE </w:t>
      </w:r>
    </w:p>
    <w:p w:rsidR="007D59BF" w:rsidRDefault="00F745D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Zastupitelstvo města Votic</w:t>
      </w:r>
    </w:p>
    <w:p w:rsidR="007D59BF" w:rsidRDefault="007D59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D59BF" w:rsidRDefault="00F745D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Obecně závazná vyhláška města Votic, </w:t>
      </w:r>
    </w:p>
    <w:p w:rsidR="007D59BF" w:rsidRDefault="00F745D8">
      <w:pPr>
        <w:jc w:val="center"/>
      </w:pPr>
      <w:r>
        <w:rPr>
          <w:rFonts w:ascii="Times New Roman" w:hAnsi="Times New Roman" w:cs="Times New Roman"/>
          <w:sz w:val="28"/>
          <w:szCs w:val="28"/>
        </w:rPr>
        <w:t>o místním poplatku ze psů</w:t>
      </w:r>
    </w:p>
    <w:p w:rsidR="007D59BF" w:rsidRDefault="007D59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D59BF" w:rsidRDefault="00F745D8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Votic se na svém zasedání dne 11. prosince 2023 usneslo </w:t>
      </w:r>
      <w:r>
        <w:rPr>
          <w:rFonts w:ascii="Times New Roman" w:hAnsi="Times New Roman" w:cs="Times New Roman"/>
          <w:sz w:val="24"/>
          <w:szCs w:val="24"/>
        </w:rP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</w:t>
      </w:r>
      <w:r>
        <w:rPr>
          <w:rFonts w:ascii="Times New Roman" w:hAnsi="Times New Roman" w:cs="Times New Roman"/>
          <w:sz w:val="24"/>
          <w:szCs w:val="24"/>
        </w:rPr>
        <w:t>ějších předpisů, tuto obecně závaznou vyhlášku (dále jen „vyhláška“):</w:t>
      </w: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Úvodní ustanovení</w:t>
      </w:r>
    </w:p>
    <w:p w:rsidR="007D59BF" w:rsidRDefault="00F745D8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Votice touto vyhláškou zavádí místní poplatek ze psů (dále jen „poplatek“).</w:t>
      </w:r>
    </w:p>
    <w:p w:rsidR="007D59BF" w:rsidRDefault="00F745D8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F745D8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městský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Předmět poplatku a poplatník</w:t>
      </w:r>
    </w:p>
    <w:p w:rsidR="007D59BF" w:rsidRDefault="00F745D8">
      <w:pPr>
        <w:pStyle w:val="Odstavec"/>
        <w:numPr>
          <w:ilvl w:val="0"/>
          <w:numId w:val="2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Poplatek ze psů platí držitel psa. Držitelem je pro účely tohoto poplatku osoba, která je přihlášená nebo má sídlo na území České r</w:t>
      </w:r>
      <w:r>
        <w:rPr>
          <w:rFonts w:ascii="Times New Roman" w:hAnsi="Times New Roman" w:cs="Times New Roman"/>
          <w:sz w:val="24"/>
          <w:szCs w:val="24"/>
        </w:rPr>
        <w:t>epubliky (dále jen „poplatník“); poplatek ze psů platí poplatník městu příslušnému podle svého místa přihlášení nebo sídla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F745D8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Poplatek ze psů se platí ze psů starších 3 měsíců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Ohlašovací povinnost</w:t>
      </w:r>
    </w:p>
    <w:p w:rsidR="007D59BF" w:rsidRDefault="00F745D8">
      <w:pPr>
        <w:pStyle w:val="Odstavec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F745D8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 15 dnů ode 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Sazba poplatku</w:t>
      </w:r>
    </w:p>
    <w:p w:rsidR="007D59BF" w:rsidRDefault="00F745D8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za kalendářní rok činí:</w:t>
      </w:r>
    </w:p>
    <w:p w:rsidR="007D59BF" w:rsidRDefault="00F745D8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za jednoho psa 600 Kč,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7D59BF" w:rsidRDefault="00F745D8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za druhého a každého dalšího psa téhož držitele 900 Kč,   </w:t>
      </w:r>
    </w:p>
    <w:p w:rsidR="007D59BF" w:rsidRDefault="00F745D8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za psa, jehož držitelem je osoba starší 65 let, 200 Kč,  </w:t>
      </w:r>
    </w:p>
    <w:p w:rsidR="007D59BF" w:rsidRDefault="00F745D8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za dru</w:t>
      </w:r>
      <w:r>
        <w:rPr>
          <w:rFonts w:ascii="Times New Roman" w:hAnsi="Times New Roman" w:cs="Times New Roman"/>
          <w:sz w:val="24"/>
          <w:szCs w:val="24"/>
        </w:rPr>
        <w:t xml:space="preserve">hého a každého dalšího psa téhož držitele, kterým je osoba starší 65 let, 300 Kč. </w:t>
      </w:r>
    </w:p>
    <w:p w:rsidR="007D59BF" w:rsidRDefault="00F745D8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Splatnost poplatku</w:t>
      </w:r>
    </w:p>
    <w:p w:rsidR="007D59BF" w:rsidRDefault="00F745D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nejpozději do 30. dubna příslušného kalendářního roku.</w:t>
      </w:r>
    </w:p>
    <w:p w:rsidR="007D59BF" w:rsidRDefault="00F745D8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Vznikne-li poplatková povinnost po datu splatnosti uvedeném v odstavci 1, je poplatek splatný nejpozději do patnáctého dne měsíce</w:t>
      </w:r>
      <w:r>
        <w:rPr>
          <w:rFonts w:ascii="Times New Roman" w:hAnsi="Times New Roman" w:cs="Times New Roman"/>
          <w:sz w:val="24"/>
          <w:szCs w:val="24"/>
        </w:rPr>
        <w:t>, který následuje po měsíci, ve kterém poplatková povinnost vznikla.</w:t>
      </w:r>
    </w:p>
    <w:p w:rsidR="007D59BF" w:rsidRDefault="00F745D8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Osvobození a úlevy</w:t>
      </w:r>
    </w:p>
    <w:p w:rsidR="007D59BF" w:rsidRDefault="00F745D8">
      <w:pPr>
        <w:pStyle w:val="Odstavec"/>
        <w:numPr>
          <w:ilvl w:val="0"/>
          <w:numId w:val="6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Od poplatku ze psů je osvobozen držitel psa, kterým</w:t>
      </w:r>
      <w:r>
        <w:rPr>
          <w:rFonts w:ascii="Times New Roman" w:hAnsi="Times New Roman" w:cs="Times New Roman"/>
          <w:sz w:val="24"/>
          <w:szCs w:val="24"/>
        </w:rPr>
        <w:t xml:space="preserve"> je osoba nevidomá, osoba, která je považována za závislou na pomoci jiné fyzické osoby podle zákona upravujícího sociální služby, osoba, která je držitelem průkazu ZTP nebo ZTP/P, osoba provádějící výcvik psů určených k doprovodu těchto osob, osoba provoz</w:t>
      </w:r>
      <w:r>
        <w:rPr>
          <w:rFonts w:ascii="Times New Roman" w:hAnsi="Times New Roman" w:cs="Times New Roman"/>
          <w:sz w:val="24"/>
          <w:szCs w:val="24"/>
        </w:rPr>
        <w:t>ující útulek pro zvířata nebo osoba, které stanoví povinnost držení a používání psa zvláštní právní předpis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7D59BF">
      <w:pPr>
        <w:pStyle w:val="Odstavec"/>
        <w:spacing w:line="240" w:lineRule="auto"/>
      </w:pPr>
    </w:p>
    <w:p w:rsidR="007D59BF" w:rsidRDefault="00F745D8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 poplatku se dále osvobozují:</w:t>
      </w:r>
    </w:p>
    <w:p w:rsidR="007D59BF" w:rsidRDefault="00F745D8">
      <w:pPr>
        <w:pStyle w:val="Odstavec"/>
        <w:numPr>
          <w:ilvl w:val="1"/>
          <w:numId w:val="1"/>
        </w:num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Votice a jeho organizační složky,</w:t>
      </w:r>
    </w:p>
    <w:p w:rsidR="007D59BF" w:rsidRDefault="00F745D8">
      <w:pPr>
        <w:pStyle w:val="Odstavec"/>
        <w:numPr>
          <w:ilvl w:val="1"/>
          <w:numId w:val="1"/>
        </w:num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příspěvkové organizace zřízené </w:t>
      </w:r>
      <w:r>
        <w:rPr>
          <w:rFonts w:ascii="Times New Roman" w:hAnsi="Times New Roman" w:cs="Times New Roman"/>
          <w:sz w:val="24"/>
          <w:szCs w:val="24"/>
        </w:rPr>
        <w:t>městem Votice,</w:t>
      </w:r>
    </w:p>
    <w:p w:rsidR="007D59BF" w:rsidRDefault="00F745D8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držitelé psa, kteří prokazatelně převzali psa z útulku nebo azylu pro opuštěná zvířata, a to po dobu jednoho roku,</w:t>
      </w:r>
    </w:p>
    <w:p w:rsidR="007D59BF" w:rsidRDefault="00F745D8">
      <w:pPr>
        <w:pStyle w:val="Odstavec"/>
        <w:numPr>
          <w:ilvl w:val="1"/>
          <w:numId w:val="1"/>
        </w:numPr>
        <w:tabs>
          <w:tab w:val="clear" w:pos="567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držitelé psa s pobytem v místních částech Amerika,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Beztahov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Bučovice,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Budenín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Buchov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Hory,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Hostišov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Javor, Kaliště, </w:t>
      </w:r>
      <w:proofErr w:type="spellStart"/>
      <w:r>
        <w:rPr>
          <w:rFonts w:ascii="Times New Roman" w:hAnsi="Times New Roman" w:cs="Times New Roman"/>
          <w:sz w:val="24"/>
          <w:szCs w:val="24"/>
        </w:rPr>
        <w:t>Košovi</w:t>
      </w:r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Lysá, Martinice,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Mladoušov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Mysletice,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Nazdice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Nezdice, Otradovice, Srbice,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Střelítov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Větrov, Vranov, </w:t>
      </w:r>
      <w:proofErr w:type="spellStart"/>
      <w:r>
        <w:rPr>
          <w:rFonts w:ascii="Times New Roman" w:hAnsi="Times New Roman" w:cs="Times New Roman"/>
          <w:sz w:val="24"/>
          <w:szCs w:val="24"/>
        </w:rPr>
        <w:t>Zdeboř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7D59BF">
      <w:pPr>
        <w:pStyle w:val="Odstavec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9BF" w:rsidRDefault="007D59BF">
      <w:pPr>
        <w:pStyle w:val="Odstavec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9BF" w:rsidRDefault="007D59BF">
      <w:pPr>
        <w:pStyle w:val="Odstavec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9BF" w:rsidRDefault="00F745D8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Úleva se poskytuje za psa v rodinném domě: </w:t>
      </w:r>
    </w:p>
    <w:p w:rsidR="007D59BF" w:rsidRDefault="007D59BF">
      <w:pPr>
        <w:pStyle w:val="Odstavec"/>
        <w:spacing w:after="0" w:line="240" w:lineRule="auto"/>
        <w:jc w:val="left"/>
        <w:rPr>
          <w:rFonts w:ascii="Times New Roman" w:hAnsi="Times New Roman" w:cs="Times New Roman"/>
          <w:sz w:val="18"/>
          <w:szCs w:val="18"/>
        </w:rPr>
      </w:pPr>
    </w:p>
    <w:p w:rsidR="007D59BF" w:rsidRDefault="00F745D8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jednoho psa ve výši 400 Kč,</w:t>
      </w:r>
    </w:p>
    <w:p w:rsidR="007D59BF" w:rsidRDefault="00F745D8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druhého a každého dalšího psa téhož držitele ve výši 600 </w:t>
      </w:r>
      <w:r>
        <w:rPr>
          <w:rFonts w:ascii="Times New Roman" w:hAnsi="Times New Roman" w:cs="Times New Roman"/>
          <w:sz w:val="24"/>
          <w:szCs w:val="24"/>
        </w:rPr>
        <w:t>Kč,</w:t>
      </w:r>
    </w:p>
    <w:p w:rsidR="007D59BF" w:rsidRDefault="00F745D8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jednoho psa, jehož držitelem je osoba starší 65 let ve výši 100 Kč,</w:t>
      </w:r>
    </w:p>
    <w:p w:rsidR="007D59BF" w:rsidRDefault="00F745D8">
      <w:pPr>
        <w:pStyle w:val="Odstavec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druhého psa a každého dalšího psa téhož držitele, kterým je osoba starší  65 let ve výši 100 Kč.</w:t>
      </w:r>
    </w:p>
    <w:p w:rsidR="007D59BF" w:rsidRDefault="00F745D8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ne</w:t>
      </w:r>
      <w:r>
        <w:rPr>
          <w:rFonts w:ascii="Times New Roman" w:hAnsi="Times New Roman" w:cs="Times New Roman"/>
          <w:sz w:val="24"/>
          <w:szCs w:val="24"/>
        </w:rPr>
        <w:t>bo úlevu ve lhůtách stanovených touto vyhláškou nebo zákonem, nárok na osvobození nebo úlevu zaniká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BF" w:rsidRDefault="007D59BF">
      <w:pPr>
        <w:pStyle w:val="Nadpis2"/>
        <w:rPr>
          <w:rFonts w:ascii="Times New Roman" w:hAnsi="Times New Roman" w:cs="Times New Roman"/>
        </w:rPr>
      </w:pP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Přechodné a zrušovací ustanovení</w:t>
      </w:r>
    </w:p>
    <w:p w:rsidR="007D59BF" w:rsidRDefault="00F745D8">
      <w:pPr>
        <w:pStyle w:val="Odstavec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</w:t>
      </w:r>
      <w:r>
        <w:rPr>
          <w:rFonts w:ascii="Times New Roman" w:hAnsi="Times New Roman" w:cs="Times New Roman"/>
          <w:sz w:val="24"/>
          <w:szCs w:val="24"/>
        </w:rPr>
        <w:t xml:space="preserve"> posuzují podle dosavadních právních předpisů.</w:t>
      </w:r>
    </w:p>
    <w:p w:rsidR="007D59BF" w:rsidRDefault="00F745D8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4/2022, obecně závazná vyhláška města Votic, o místním poplatku ze psů, ze dne 12. prosince 2022.</w:t>
      </w:r>
    </w:p>
    <w:p w:rsidR="007D59BF" w:rsidRDefault="007D59BF">
      <w:pPr>
        <w:pStyle w:val="Nadpis2"/>
        <w:rPr>
          <w:rFonts w:ascii="Times New Roman" w:hAnsi="Times New Roman" w:cs="Times New Roman"/>
        </w:rPr>
      </w:pPr>
    </w:p>
    <w:p w:rsidR="007D59BF" w:rsidRDefault="00F745D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:rsidR="007D59BF" w:rsidRDefault="00F745D8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59B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59BF" w:rsidRDefault="00F745D8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 Malá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starostka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59BF" w:rsidRDefault="00F745D8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Bc. Jaroslava Pokorná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místostarostka města</w:t>
            </w:r>
          </w:p>
        </w:tc>
      </w:tr>
      <w:tr w:rsidR="007D59B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59BF" w:rsidRDefault="00F745D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59BF" w:rsidRDefault="007D59BF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BF" w:rsidRDefault="007D59BF"/>
    <w:sectPr w:rsidR="007D59BF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D8" w:rsidRDefault="00F745D8">
      <w:r>
        <w:separator/>
      </w:r>
    </w:p>
  </w:endnote>
  <w:endnote w:type="continuationSeparator" w:id="0">
    <w:p w:rsidR="00F745D8" w:rsidRDefault="00F7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0B6" w:rsidRDefault="00F745D8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D359BD">
      <w:rPr>
        <w:noProof/>
      </w:rPr>
      <w:t>1</w:t>
    </w:r>
    <w:r>
      <w:fldChar w:fldCharType="end"/>
    </w:r>
  </w:p>
  <w:p w:rsidR="003660B6" w:rsidRDefault="00F745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D8" w:rsidRDefault="00F745D8">
      <w:r>
        <w:rPr>
          <w:color w:val="000000"/>
        </w:rPr>
        <w:separator/>
      </w:r>
    </w:p>
  </w:footnote>
  <w:footnote w:type="continuationSeparator" w:id="0">
    <w:p w:rsidR="00F745D8" w:rsidRDefault="00F745D8">
      <w:r>
        <w:continuationSeparator/>
      </w:r>
    </w:p>
  </w:footnote>
  <w:footnote w:id="1">
    <w:p w:rsidR="007D59BF" w:rsidRDefault="00F745D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2 odst. 5 zákona o místních p</w:t>
      </w:r>
      <w:r>
        <w:rPr>
          <w:rFonts w:ascii="Times New Roman" w:hAnsi="Times New Roman" w:cs="Times New Roman"/>
        </w:rPr>
        <w:t>oplatcích</w:t>
      </w:r>
    </w:p>
  </w:footnote>
  <w:footnote w:id="2">
    <w:p w:rsidR="007D59BF" w:rsidRDefault="00F745D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3">
    <w:p w:rsidR="007D59BF" w:rsidRDefault="00F745D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2 odst. 1 a 4 zákona o místních poplatcích</w:t>
      </w:r>
    </w:p>
  </w:footnote>
  <w:footnote w:id="4">
    <w:p w:rsidR="007D59BF" w:rsidRDefault="00F745D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2 odst. 2 zákona o místních pop</w:t>
      </w:r>
      <w:r>
        <w:rPr>
          <w:rFonts w:ascii="Times New Roman" w:hAnsi="Times New Roman" w:cs="Times New Roman"/>
        </w:rPr>
        <w:t>latcích</w:t>
      </w:r>
    </w:p>
  </w:footnote>
  <w:footnote w:id="5">
    <w:p w:rsidR="007D59BF" w:rsidRDefault="00F745D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 xml:space="preserve">§ 14a odst. 1 </w:t>
      </w:r>
      <w:r>
        <w:rPr>
          <w:rFonts w:ascii="Times New Roman" w:hAnsi="Times New Roman" w:cs="Times New Roman"/>
        </w:rPr>
        <w:t>a 2 zákona o místních poplatcích; v ohlášení poplatník uvede zejména své identifikační údaje a skutečnosti rozhodné pro stanovení poplatku</w:t>
      </w:r>
    </w:p>
  </w:footnote>
  <w:footnote w:id="6">
    <w:p w:rsidR="007D59BF" w:rsidRDefault="00F745D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4 zákona o místních poplatcích</w:t>
      </w:r>
    </w:p>
  </w:footnote>
  <w:footnote w:id="7">
    <w:p w:rsidR="007D59BF" w:rsidRDefault="00F745D8">
      <w:pPr>
        <w:pStyle w:val="Footnote"/>
      </w:pPr>
      <w:r>
        <w:rPr>
          <w:rStyle w:val="Znakapoznpodarou"/>
        </w:rPr>
        <w:footnoteRef/>
      </w:r>
      <w:r>
        <w:t>§ 2 odst. 3 zák</w:t>
      </w:r>
      <w:r>
        <w:t>ona o místních poplatcích</w:t>
      </w:r>
    </w:p>
  </w:footnote>
  <w:footnote w:id="8">
    <w:p w:rsidR="007D59BF" w:rsidRDefault="00F745D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7D59BF" w:rsidRDefault="00F745D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43F0"/>
    <w:multiLevelType w:val="multilevel"/>
    <w:tmpl w:val="2A265FE6"/>
    <w:lvl w:ilvl="0">
      <w:start w:val="1"/>
      <w:numFmt w:val="decimal"/>
      <w:lvlText w:val="(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59BF"/>
    <w:rsid w:val="007D59BF"/>
    <w:rsid w:val="00D359BD"/>
    <w:rsid w:val="00F7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</dc:creator>
  <cp:lastModifiedBy>Jaroslava Ptáčková</cp:lastModifiedBy>
  <cp:revision>2</cp:revision>
  <dcterms:created xsi:type="dcterms:W3CDTF">2023-12-13T07:59:00Z</dcterms:created>
  <dcterms:modified xsi:type="dcterms:W3CDTF">2023-12-13T07:59:00Z</dcterms:modified>
</cp:coreProperties>
</file>