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46BFE423" w:rsidR="005B6419" w:rsidRPr="00386CC6" w:rsidRDefault="008858A3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Na zajištění ochrany veřejného pořádku a o ochraně občanů města před následky požívání alkoholu na veřejných prostranstvích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750C7B50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886B42">
        <w:rPr>
          <w:rFonts w:ascii="Verdana" w:hAnsi="Verdana"/>
          <w:bCs w:val="0"/>
        </w:rPr>
        <w:t>27. 3. 2025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16A7A70B" w14:textId="77777777" w:rsidR="00133215" w:rsidRPr="005B6419" w:rsidRDefault="005B6419" w:rsidP="005B641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FE9E8A" w14:textId="04499D69" w:rsidR="004E2507" w:rsidRDefault="004E5BE9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886B42" w:rsidRPr="00886B4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27</w:t>
      </w:r>
      <w:r w:rsidRPr="00886B4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="00886B4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23.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2025 usnesením č. </w:t>
      </w:r>
      <w:r w:rsidR="00886B4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034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/2025 usneslo </w:t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 souladu s ustanovením § 84 odst. 2 písm. h) na základě § 10 písm. a) zákona č. 128/2000 Sb., o obcích (obecní zřízení) ve znění pozdějších předpisů tuto obecně závaznou vyhlášku:</w:t>
      </w:r>
    </w:p>
    <w:p w14:paraId="76DDB1DD" w14:textId="77777777" w:rsidR="006D2BC2" w:rsidRDefault="006D2BC2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5D7351F" w14:textId="73E66683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1</w:t>
      </w:r>
    </w:p>
    <w:p w14:paraId="7FB880BB" w14:textId="6666F05F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Základní ustanovení</w:t>
      </w:r>
    </w:p>
    <w:p w14:paraId="6F5FFA8E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FB80C57" w14:textId="77777777" w:rsidR="008858A3" w:rsidRDefault="006D2BC2" w:rsidP="008858A3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Město Týn nad Vltavou</w:t>
      </w:r>
      <w:r w:rsid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(dále jen „město“) touto obecně závaznou vyhláškou vydanou v samostatné působnosti (dále   jen „vyhláška“) na základě zákonného zmocnění a v souladu s platnou právní úpravou reaguje na požadavky svých občanů na zajištění ochrany veřejného pořádku a na ochranu před následky požívání alkoholu na veřejných prostranstvích, zejména v parcích, středu města a v okolí míst, kde se shromažďují děti.</w:t>
      </w:r>
    </w:p>
    <w:p w14:paraId="394C95BB" w14:textId="77777777" w:rsidR="008858A3" w:rsidRDefault="008858A3" w:rsidP="008858A3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24C06AAE" w14:textId="77777777" w:rsidR="008858A3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Zastupitelstvo města Týn nad Vltavou vydáním vyhlášky realizuje právo občanů města podílet se na správě věcí veřejných s cílem zamezit veřejnému pohoršení a ochránit zejména mladou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generaci před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škodlivými důsledky způsobenými sledováním osob požívajících alkoholické nápoje. </w:t>
      </w:r>
    </w:p>
    <w:p w14:paraId="3AE68D1F" w14:textId="77777777" w:rsidR="008858A3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7BD7396F" w14:textId="12BE2C91" w:rsidR="006D2BC2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Tímto předpisem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není dotčeno právo občanů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ochranu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před neoprávněným zasahováním do soukromého života.</w:t>
      </w:r>
    </w:p>
    <w:p w14:paraId="7FB76DC1" w14:textId="7ED77E33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2</w:t>
      </w:r>
    </w:p>
    <w:p w14:paraId="34DD76B3" w14:textId="537BD3B6" w:rsidR="006D2BC2" w:rsidRPr="00300518" w:rsidRDefault="008858A3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Výklad pojmů</w:t>
      </w:r>
    </w:p>
    <w:p w14:paraId="736CB773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3778968" w14:textId="57ABD77F" w:rsidR="006D2BC2" w:rsidRDefault="008858A3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Pro účely předpisu se jednotlivými pojmy rozumí</w:t>
      </w:r>
      <w:r w:rsidR="006D2BC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4DA016D2" w14:textId="1CBEF32B" w:rsidR="008858A3" w:rsidRDefault="008858A3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D633A9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„Veřejným prostranstvím“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se rozumí všechna náměstí, ulice, tržiště, chodníky, veřejná zeleň, parky a další prostory přístupné každému bez omezení, tedy sloužící obecnému užívání, a to bez ohledu na vlastnictví k tomuto prostoru.</w:t>
      </w:r>
    </w:p>
    <w:p w14:paraId="215B06CF" w14:textId="3E4EE05C" w:rsidR="008858A3" w:rsidRDefault="00D633A9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D633A9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„Historickou částí města Týn nad Vltavou“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se pro účely této vyhlášky rozumí veřejná prostranství na náměstí Míru, v ulicích Puchmayerova, Horní Brašov, Jiráskova, Úzká, brašovské uličky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č. 2214/8, 2214/10 a 2214/11, Děkanská, Pod Kostelem, Zámecké nádvoří, Legií, Ke Hradu, Pod Parkem, Rámy, Vinařického náměstí, Sakařova, Tyršova, Železný most přes řeku Vltavou a pěší komunikace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313/5.</w:t>
      </w:r>
    </w:p>
    <w:p w14:paraId="1CFE9EB8" w14:textId="76BD8C21" w:rsidR="00D633A9" w:rsidRDefault="00D633A9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u Vltavy“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od mostu 28. října, včetně parkoviště pod kostelem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</w:t>
      </w:r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269/2, 269/5, 281/1 mezi ulicemi Puchmayerova, Dewetterova a tokem řeky Vltavy, Nábřeží 5. května.</w:t>
      </w:r>
    </w:p>
    <w:p w14:paraId="5B1D3348" w14:textId="4A08293C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„Areálem kanoistického stadionu“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travnatá plocha mezi mosty podél toku řeky Vltavy.</w:t>
      </w:r>
    </w:p>
    <w:p w14:paraId="6CC8751A" w14:textId="59674153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Bedřichovy sady“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na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478/2, p. č. 478/4 a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p. č. 2900.</w:t>
      </w:r>
    </w:p>
    <w:p w14:paraId="60E79DE0" w14:textId="77AC5690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631C3D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Městské polikliniky Týn nad Vltavou“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prostory veřejné zeleně v ulici Sakařova na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1240/2, 1240/27</w:t>
      </w:r>
      <w:r w:rsidR="00631C3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a parkoviště před budovou městské polikliniky p. p. č. 893/2.</w:t>
      </w:r>
    </w:p>
    <w:p w14:paraId="75F5C716" w14:textId="552D8DC9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v ulici Na Brodech“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na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297/3, 2302/1, 1270/4 a 1269/1.</w:t>
      </w:r>
    </w:p>
    <w:p w14:paraId="1FCD4D69" w14:textId="0E0197F3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„Rozhlednou na Semenci“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prostor rozhledny a prostory veřejné zeleně v okolí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  <w:t>100 m od rozhledny.</w:t>
      </w:r>
    </w:p>
    <w:p w14:paraId="498D56C8" w14:textId="626B8B91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„Vybraným veřejným prostranstvím na Hlineckém sídlišti“ </w:t>
      </w:r>
      <w:r w:rsidRP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okolí ve vzdálenosti do 100 m od KD Hlinecká a „autobusová zastávka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</w:t>
      </w:r>
      <w:r w:rsidRP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výměníku“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DFC2A1" w14:textId="77777777" w:rsidR="007953ED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„Dětskými a sportovními hřišti a jejich nejbližším okolím“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pro účely této vyhlášky rozumí</w:t>
      </w:r>
      <w:r w:rsidR="007953E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90FEFE4" w14:textId="1D71DD78" w:rsidR="007953ED" w:rsidRPr="00E82B63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82B63">
        <w:rPr>
          <w:rFonts w:ascii="Calibri" w:hAnsi="Calibri" w:cs="Calibri"/>
          <w:color w:val="000000"/>
          <w:sz w:val="22"/>
          <w:szCs w:val="22"/>
        </w:rPr>
        <w:t>dětské hřiště „Duhový park na nábřeží“,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E82B63">
        <w:rPr>
          <w:rFonts w:ascii="Calibri" w:hAnsi="Calibri" w:cs="Calibri"/>
          <w:color w:val="000000"/>
          <w:sz w:val="22"/>
          <w:szCs w:val="22"/>
        </w:rPr>
        <w:t>č. 2387/2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82B63">
        <w:rPr>
          <w:rFonts w:ascii="Calibri" w:hAnsi="Calibri" w:cs="Calibri"/>
          <w:color w:val="000000"/>
          <w:sz w:val="22"/>
          <w:szCs w:val="22"/>
        </w:rPr>
        <w:t>ú. Týn nad Vltavou</w:t>
      </w:r>
    </w:p>
    <w:p w14:paraId="2372FCE9" w14:textId="118E65A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workoutové hřiště na nábřeží 5. května,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2387/76+297/9 k. ú. Týn nad Vltavou</w:t>
      </w:r>
    </w:p>
    <w:p w14:paraId="0D5D2C85" w14:textId="228B029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Vodňanská,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1879/16 k. ú. Týn nad Vltavou</w:t>
      </w:r>
    </w:p>
    <w:p w14:paraId="4A81B4CB" w14:textId="3DD4240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volejbalové hřiště Na Valše,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273/1 v k. ú. Týn nad Vltavou</w:t>
      </w:r>
    </w:p>
    <w:p w14:paraId="6D01BEB6" w14:textId="6D217E2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hřiště Havlíčkova ulice,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2032/1 k. ú. Týn nad Vltavou</w:t>
      </w:r>
    </w:p>
    <w:p w14:paraId="76FE4CB1" w14:textId="5CE02CB7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hřiště Vodňanská ulice,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1799/1 + 1879/2  k. ú. Týn nad Vltavou</w:t>
      </w:r>
    </w:p>
    <w:p w14:paraId="24DB3A17" w14:textId="38F38A6D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„Oranžové hřiště na Hlineckém sídlišti“,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1035/50 k. ú. Týn nad Vltavou</w:t>
      </w:r>
    </w:p>
    <w:p w14:paraId="09503A62" w14:textId="03938AE1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</w:t>
      </w:r>
      <w:r w:rsidRPr="00E82B63">
        <w:rPr>
          <w:rFonts w:ascii="Calibri" w:hAnsi="Calibri" w:cs="Calibri"/>
          <w:color w:val="000000"/>
          <w:sz w:val="22"/>
          <w:szCs w:val="22"/>
        </w:rPr>
        <w:t>hřiště 8 D na Hlineckém sídlišti,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E82B63">
        <w:rPr>
          <w:rFonts w:ascii="Calibri" w:hAnsi="Calibri" w:cs="Calibri"/>
          <w:color w:val="000000"/>
          <w:sz w:val="22"/>
          <w:szCs w:val="22"/>
        </w:rPr>
        <w:t>č. 1035/50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82B63">
        <w:rPr>
          <w:rFonts w:ascii="Calibri" w:hAnsi="Calibri" w:cs="Calibri"/>
          <w:color w:val="000000"/>
          <w:sz w:val="22"/>
          <w:szCs w:val="22"/>
        </w:rPr>
        <w:t>ú. Týn nad Vltavou</w:t>
      </w:r>
    </w:p>
    <w:p w14:paraId="210E61A8" w14:textId="4EFFA4B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ulice Táborská, p. </w:t>
      </w:r>
      <w:r w:rsidR="00A74C56">
        <w:rPr>
          <w:rFonts w:ascii="Calibri" w:hAnsi="Calibri" w:cs="Calibri"/>
          <w:color w:val="000000"/>
          <w:sz w:val="22"/>
          <w:szCs w:val="22"/>
        </w:rPr>
        <w:t>p. č</w:t>
      </w:r>
      <w:r>
        <w:rPr>
          <w:rFonts w:ascii="Calibri" w:hAnsi="Calibri" w:cs="Calibri"/>
          <w:color w:val="000000"/>
          <w:sz w:val="22"/>
          <w:szCs w:val="22"/>
        </w:rPr>
        <w:t>. 2247/10 k. ú. Týn nad Vltavou</w:t>
      </w:r>
    </w:p>
    <w:p w14:paraId="3FC53123" w14:textId="68C050E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u ul. Vojnova,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1651/1 k. ú. Týn nad Vltavou</w:t>
      </w:r>
    </w:p>
    <w:p w14:paraId="0AFAF405" w14:textId="5F0B517B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fitness hřiště ve Vodňanské ulici,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1813/1 k. ú. Týn nad Vltavou</w:t>
      </w:r>
    </w:p>
    <w:p w14:paraId="5870114C" w14:textId="615B23D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skatepark,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2245/3+ 266/1 k. ú. Týn nad Vltavou</w:t>
      </w:r>
    </w:p>
    <w:p w14:paraId="5E547443" w14:textId="1FFD0BE4" w:rsidR="007953ED" w:rsidRPr="00B43E99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43E99">
        <w:rPr>
          <w:rFonts w:ascii="Calibri" w:hAnsi="Calibri" w:cs="Calibri"/>
          <w:color w:val="000000"/>
          <w:sz w:val="22"/>
          <w:szCs w:val="22"/>
        </w:rPr>
        <w:t>stezka podél Hlineckého potoka, 2x stanoviště s workoutem, lokalita na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B43E99">
        <w:rPr>
          <w:rFonts w:ascii="Calibri" w:hAnsi="Calibri" w:cs="Calibri"/>
          <w:color w:val="000000"/>
          <w:sz w:val="22"/>
          <w:szCs w:val="22"/>
        </w:rPr>
        <w:t>č. 1056/1, 1056/3,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43E99">
        <w:rPr>
          <w:rFonts w:ascii="Calibri" w:hAnsi="Calibri" w:cs="Calibri"/>
          <w:color w:val="000000"/>
          <w:sz w:val="22"/>
          <w:szCs w:val="22"/>
        </w:rPr>
        <w:t>1088/5 v k.ú. Týn nad Vltavou</w:t>
      </w:r>
    </w:p>
    <w:p w14:paraId="68FD1E81" w14:textId="6338D675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Hřiště Rybičků louka – celek vč. altánu, p. č. 190/2 k. ú. Týn nad Vltavou</w:t>
      </w:r>
    </w:p>
    <w:p w14:paraId="518837D8" w14:textId="776402D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park Valy Pastviny,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2834/1 k. ú. Týn nad Vltavou</w:t>
      </w:r>
    </w:p>
    <w:p w14:paraId="71D33268" w14:textId="57E50408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Herní prvky Na Šancích, pozemek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752/18 k. ú. Týn nad Vltavou</w:t>
      </w:r>
    </w:p>
    <w:p w14:paraId="4E41B0EC" w14:textId="6616F95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Sportovní hřiště za městskou plovárnou,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1918 k. ú. Týn nad Vltavou</w:t>
      </w:r>
    </w:p>
    <w:p w14:paraId="492D325D" w14:textId="3B30883A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Areál Hlinecká,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1035/4 a 1032/1</w:t>
      </w:r>
      <w:r w:rsidRPr="0022558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k. ú. Týn nad Vltavou</w:t>
      </w:r>
    </w:p>
    <w:p w14:paraId="65F1F173" w14:textId="72516E9A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Hřiště při ZŠ Týn nad Vltavou, Hlinecká,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</w:t>
      </w:r>
      <w:r w:rsidRPr="00AC50F8">
        <w:rPr>
          <w:rFonts w:ascii="Calibri" w:hAnsi="Calibri" w:cs="Calibri"/>
          <w:color w:val="000000"/>
          <w:sz w:val="22"/>
          <w:szCs w:val="22"/>
        </w:rPr>
        <w:t xml:space="preserve">1035/40 </w:t>
      </w:r>
      <w:r>
        <w:rPr>
          <w:rFonts w:ascii="Calibri" w:hAnsi="Calibri" w:cs="Calibri"/>
          <w:color w:val="000000"/>
          <w:sz w:val="22"/>
          <w:szCs w:val="22"/>
        </w:rPr>
        <w:t>k. ú. Týn nad Vltavou</w:t>
      </w:r>
    </w:p>
    <w:p w14:paraId="7EFE83D7" w14:textId="354E0653" w:rsidR="00451314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7953ED">
        <w:rPr>
          <w:rFonts w:ascii="Calibri" w:hAnsi="Calibri" w:cs="Calibri"/>
          <w:color w:val="000000"/>
          <w:sz w:val="22"/>
          <w:szCs w:val="22"/>
        </w:rPr>
        <w:t>Hřiště a dopravní hřiště při ZŠ Týn nad Vltavou, Malá Strana,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7953ED">
        <w:rPr>
          <w:rFonts w:ascii="Calibri" w:hAnsi="Calibri" w:cs="Calibri"/>
          <w:color w:val="000000"/>
          <w:sz w:val="22"/>
          <w:szCs w:val="22"/>
        </w:rPr>
        <w:t>č. 1921/1, 1955/1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953ED">
        <w:rPr>
          <w:rFonts w:ascii="Calibri" w:hAnsi="Calibri" w:cs="Calibri"/>
          <w:color w:val="000000"/>
          <w:sz w:val="22"/>
          <w:szCs w:val="22"/>
        </w:rPr>
        <w:t>1934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953ED">
        <w:rPr>
          <w:rFonts w:ascii="Calibri" w:hAnsi="Calibri" w:cs="Calibri"/>
          <w:color w:val="000000"/>
          <w:sz w:val="22"/>
          <w:szCs w:val="22"/>
        </w:rPr>
        <w:t>ú. Týn nad Vltavou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23F1F7" w14:textId="181AD0F0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Sportovní areál FK Olympie</w:t>
      </w:r>
    </w:p>
    <w:p w14:paraId="20342055" w14:textId="277C3BB8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TC Týn nad Vltavou</w:t>
      </w:r>
    </w:p>
    <w:p w14:paraId="33D292F3" w14:textId="77835E79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TJ Jiskra</w:t>
      </w:r>
    </w:p>
    <w:p w14:paraId="06F0D621" w14:textId="6306B364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Městské fotbalové hřiště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2397/5 u hřbitova včetně parku u hřbitova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2397/7 k. ú. Týn nad Vltavou</w:t>
      </w:r>
    </w:p>
    <w:p w14:paraId="4E6A0E92" w14:textId="609C5BC1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Parkoviště před městskou sportovní halou </w:t>
      </w:r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na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2397/1 k. ú. Týn nad Vltavou</w:t>
      </w:r>
    </w:p>
    <w:p w14:paraId="71CED9EE" w14:textId="6830A042" w:rsidR="00B74F73" w:rsidRDefault="00B74F73" w:rsidP="00B74F7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„Okolím školy a školského zařízení“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pro účely této vyhlášky rozumí veřejná prostranství do vzdálenosti 100 m od vchodu do areálu nebo objektu školy (Mateřské školy Týn nad Vltavou, Hlinecká a odloučených pracovišť v ulici Dewetterova a U Lípy, Základní školy Týn Vltavou, Hlinecká a odloučeného pracoviště na Vinařického náměstí, oplocený areál Základní školy Týn nad Vltavou, Malá Strana a veřejná prostranství do vzdálenosti 100 m od oploceného areálu školského zařízení Městského domu dětí a mládeže v Tyršově ulici.</w:t>
      </w:r>
    </w:p>
    <w:p w14:paraId="67518684" w14:textId="650AE8D3" w:rsidR="00B74F73" w:rsidRDefault="00B74F73" w:rsidP="00B74F7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„Prostory u objektů občanské vybavenosti“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pro účely této vyhlášky rozumí autobusové nádraží a vlakové nádraží a veřejné prostranství do vzdálenosti 100 m od hlavní budovy nádraží. Dále parkoviště a veřejná prostranství před SD Jednota Malá Strana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1799/1, 1799/35,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1799/51 a 1879/19. Parkoviště před velkoobchodem LIDL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p. p. č. 1993/9. Parkoviště a veřejná prostranství před velkoobchodem PENNY MARKET a přilehlých retailových prodejen p. p. č. 1993/63, 1993/41, 1993/39, 1993/35, 1993/44, 1994/43, 1993/54, 1993/16, 1993,15, 3036, 3035, 3034, 3037, 1993/58, 1993/56, 1998/5, 1993/14</w:t>
      </w:r>
      <w:r w:rsidR="00631C3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 1993/52. Parkoviště před velkoobchodem MaxiHit p. p. č. 1035/25, veřejná prostranství v okolí Městského domu kultury a vzdělávání Sokolovna.</w:t>
      </w:r>
    </w:p>
    <w:p w14:paraId="121A0EFA" w14:textId="28793AAF" w:rsidR="00631C3D" w:rsidRPr="007953ED" w:rsidRDefault="00631C3D" w:rsidP="00B74F7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„Alkoholický nápojem“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pro účely této vyhlášky rozumí lihovina, víno a pivo. Alkoholickým nápojem se rozumí též nápoj, který není uveden ve větě první, pokud obsahuje více než 0,5 objemového procenta alkoholu.</w:t>
      </w:r>
    </w:p>
    <w:p w14:paraId="7BFEFF27" w14:textId="77777777" w:rsidR="006D768F" w:rsidRDefault="006D768F" w:rsidP="006D768F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02597FFC" w14:textId="75F691F0" w:rsidR="006D768F" w:rsidRP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3</w:t>
      </w:r>
    </w:p>
    <w:p w14:paraId="147FA152" w14:textId="4D8D560F" w:rsidR="006D768F" w:rsidRDefault="00631C3D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Vymezení činností, které by mohly narušit veřejný pořádek v obci nebo být v rozporu s dobrými mravy, ochranou bezpečnosti, zdraví a majetku</w:t>
      </w:r>
    </w:p>
    <w:p w14:paraId="70FF50BA" w14:textId="77777777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6DB394" w14:textId="19A1B017" w:rsidR="007254CC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Činností, jež by mohla narušit veřejný pořádek ve městě a být v rozporu s dobrými mravy, ochranou bezpečnosti, zdraví a majetku se pro účely této vyhlášky rozumí konzumace alkoholických nápojů na plochách veřejného prostranství vymezených v čl. 2 této vyhlášky.</w:t>
      </w:r>
    </w:p>
    <w:p w14:paraId="23828887" w14:textId="77777777" w:rsidR="00631C3D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5499036" w14:textId="77777777" w:rsidR="00631C3D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A4D37B5" w14:textId="27924B6F" w:rsidR="007254CC" w:rsidRP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Čl. 4</w:t>
      </w:r>
    </w:p>
    <w:p w14:paraId="5D41EDDE" w14:textId="690813DF" w:rsidR="007254CC" w:rsidRDefault="00631C3D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Zákaz činností na vymezeném veřejném prostranství</w:t>
      </w:r>
    </w:p>
    <w:p w14:paraId="564C5438" w14:textId="77777777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DA2C45" w14:textId="7685A7AD" w:rsidR="007254CC" w:rsidRDefault="00631C3D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 historické části města, v parcích u Vltavy, Bedřichovy sady, u Městské polikliniky Týn nad Vltavou, v ulici Na Brodech, u rozhledny na Semenci, u areálu kanoistického stadionu, na vybraných prostranstvích na Hlineckém sídlišti, na dětských a sportovních hřištích, v okolí škol a školských zařízení, u vybraných objektů občanské vybavenosti a na nejbližším veřejném prostranství je zakázáno požívání alkoholických nápojů.</w:t>
      </w:r>
    </w:p>
    <w:p w14:paraId="40219402" w14:textId="64D577A7" w:rsidR="007254CC" w:rsidRDefault="00AF6212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Zákaz podle bodu 1.) se nevztahuje na veřejná prostranství nevymezená v čl. 2 této vyhlášky a na veřejná prostranství, na nichž je rozhodnutím správního orgánu povoleno zvláštní užívání komunikace za účelem provozování tzv. předzahrádky.</w:t>
      </w:r>
    </w:p>
    <w:p w14:paraId="29D95F60" w14:textId="3F18F21C" w:rsidR="00AF6212" w:rsidRDefault="00AF6212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Zákaz se nevztahuje na veřejná prostranství vymezená v čl. 2 v době, kdy se na nich konají společenské a kulturní akce pořádané nebo schválené městem (např. Vltavotýnská pouť, Slavnosti města, oslavy konce roku apod.)</w:t>
      </w:r>
    </w:p>
    <w:p w14:paraId="4BA19910" w14:textId="77777777" w:rsidR="00817757" w:rsidRDefault="00817757" w:rsidP="00817757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1C2333B" w14:textId="3907A37E" w:rsidR="00817757" w:rsidRP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5</w:t>
      </w:r>
    </w:p>
    <w:p w14:paraId="2F01BE01" w14:textId="790163FB" w:rsidR="00817757" w:rsidRDefault="00AF6212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138D62D5" w14:textId="01005AAF" w:rsidR="00E655E0" w:rsidRDefault="00AF6212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Uplatněním této vyhlášky nejsou dotčeny povinnosti stanovené jinými právními předpisy. Porušení zákazu dle čl. 4 odst. 1 této vyhlášky může být posuzováno jako přestupek a postihováno v souladu s platnou právní úpravou.</w:t>
      </w:r>
    </w:p>
    <w:p w14:paraId="1DD7DD97" w14:textId="6FD4B602" w:rsidR="00E655E0" w:rsidRP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Čl. </w:t>
      </w:r>
      <w:r w:rsidR="00AF621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</w:p>
    <w:p w14:paraId="511B5394" w14:textId="5761B792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6949D2BE" w14:textId="77777777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5C52A4" w14:textId="5693534E" w:rsidR="00E655E0" w:rsidRPr="00E655E0" w:rsidRDefault="00E655E0" w:rsidP="00350B84">
      <w:pPr>
        <w:pStyle w:val="Odstavecseseznamem"/>
        <w:numPr>
          <w:ilvl w:val="0"/>
          <w:numId w:val="22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Tato vyhláška nabývá účinnosti patnáctým dnem následujícím po jejím vyhlášení.</w:t>
      </w:r>
    </w:p>
    <w:p w14:paraId="21B9781A" w14:textId="77777777" w:rsidR="00E655E0" w:rsidRP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21EA879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886B42">
        <w:rPr>
          <w:rStyle w:val="Bodytext5"/>
          <w:rFonts w:asciiTheme="minorHAnsi" w:hAnsiTheme="minorHAnsi"/>
        </w:rPr>
        <w:t xml:space="preserve">v. r.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DiS.</w:t>
      </w:r>
      <w:r w:rsidR="00886B42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místostarosta</w:t>
      </w:r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7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1C24BE"/>
    <w:multiLevelType w:val="hybridMultilevel"/>
    <w:tmpl w:val="4F748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7"/>
    <w:multiLevelType w:val="hybridMultilevel"/>
    <w:tmpl w:val="E35838B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854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D5E"/>
    <w:multiLevelType w:val="hybridMultilevel"/>
    <w:tmpl w:val="ED8CC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6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34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1E68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76ABD"/>
    <w:multiLevelType w:val="multilevel"/>
    <w:tmpl w:val="2FC29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4075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024D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175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0E7F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EF3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F979FE"/>
    <w:multiLevelType w:val="hybridMultilevel"/>
    <w:tmpl w:val="B9801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751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35387">
    <w:abstractNumId w:val="13"/>
  </w:num>
  <w:num w:numId="2" w16cid:durableId="648747217">
    <w:abstractNumId w:val="9"/>
  </w:num>
  <w:num w:numId="3" w16cid:durableId="2129930689">
    <w:abstractNumId w:val="4"/>
  </w:num>
  <w:num w:numId="4" w16cid:durableId="827936051">
    <w:abstractNumId w:val="17"/>
  </w:num>
  <w:num w:numId="5" w16cid:durableId="1743335748">
    <w:abstractNumId w:val="12"/>
  </w:num>
  <w:num w:numId="6" w16cid:durableId="1225261931">
    <w:abstractNumId w:val="10"/>
  </w:num>
  <w:num w:numId="7" w16cid:durableId="498883930">
    <w:abstractNumId w:val="11"/>
  </w:num>
  <w:num w:numId="8" w16cid:durableId="779447668">
    <w:abstractNumId w:val="21"/>
  </w:num>
  <w:num w:numId="9" w16cid:durableId="595020200">
    <w:abstractNumId w:val="5"/>
  </w:num>
  <w:num w:numId="10" w16cid:durableId="563830372">
    <w:abstractNumId w:val="2"/>
  </w:num>
  <w:num w:numId="11" w16cid:durableId="486480034">
    <w:abstractNumId w:val="1"/>
  </w:num>
  <w:num w:numId="12" w16cid:durableId="608128077">
    <w:abstractNumId w:val="20"/>
  </w:num>
  <w:num w:numId="13" w16cid:durableId="1552116226">
    <w:abstractNumId w:val="0"/>
  </w:num>
  <w:num w:numId="14" w16cid:durableId="2043896818">
    <w:abstractNumId w:val="22"/>
  </w:num>
  <w:num w:numId="15" w16cid:durableId="1548758035">
    <w:abstractNumId w:val="3"/>
  </w:num>
  <w:num w:numId="16" w16cid:durableId="2069256002">
    <w:abstractNumId w:val="7"/>
  </w:num>
  <w:num w:numId="17" w16cid:durableId="823401232">
    <w:abstractNumId w:val="18"/>
  </w:num>
  <w:num w:numId="18" w16cid:durableId="1856335415">
    <w:abstractNumId w:val="19"/>
  </w:num>
  <w:num w:numId="19" w16cid:durableId="1149520992">
    <w:abstractNumId w:val="6"/>
  </w:num>
  <w:num w:numId="20" w16cid:durableId="1565336779">
    <w:abstractNumId w:val="8"/>
  </w:num>
  <w:num w:numId="21" w16cid:durableId="2137602868">
    <w:abstractNumId w:val="16"/>
  </w:num>
  <w:num w:numId="22" w16cid:durableId="1461193116">
    <w:abstractNumId w:val="15"/>
  </w:num>
  <w:num w:numId="23" w16cid:durableId="1105148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01AB9"/>
    <w:rsid w:val="00037DCB"/>
    <w:rsid w:val="00064724"/>
    <w:rsid w:val="000A5699"/>
    <w:rsid w:val="000B2358"/>
    <w:rsid w:val="00115DF5"/>
    <w:rsid w:val="00133215"/>
    <w:rsid w:val="00140D18"/>
    <w:rsid w:val="00170CFB"/>
    <w:rsid w:val="001878F5"/>
    <w:rsid w:val="001B012D"/>
    <w:rsid w:val="001E6BC9"/>
    <w:rsid w:val="002410B6"/>
    <w:rsid w:val="00262EE1"/>
    <w:rsid w:val="002A73E0"/>
    <w:rsid w:val="00300518"/>
    <w:rsid w:val="00321FBB"/>
    <w:rsid w:val="00386CC6"/>
    <w:rsid w:val="003D4F4F"/>
    <w:rsid w:val="0043299B"/>
    <w:rsid w:val="004429C6"/>
    <w:rsid w:val="00451314"/>
    <w:rsid w:val="004C5E97"/>
    <w:rsid w:val="004E2507"/>
    <w:rsid w:val="004E5BE9"/>
    <w:rsid w:val="005171E9"/>
    <w:rsid w:val="00537E0D"/>
    <w:rsid w:val="00542110"/>
    <w:rsid w:val="00542F8C"/>
    <w:rsid w:val="005B2274"/>
    <w:rsid w:val="005B6419"/>
    <w:rsid w:val="005B7510"/>
    <w:rsid w:val="005C0D96"/>
    <w:rsid w:val="006028DC"/>
    <w:rsid w:val="00631C3D"/>
    <w:rsid w:val="006D2BC2"/>
    <w:rsid w:val="006D768F"/>
    <w:rsid w:val="007254CC"/>
    <w:rsid w:val="0075087B"/>
    <w:rsid w:val="007632D2"/>
    <w:rsid w:val="007953ED"/>
    <w:rsid w:val="007C24C6"/>
    <w:rsid w:val="007F6CDF"/>
    <w:rsid w:val="008148B7"/>
    <w:rsid w:val="00817757"/>
    <w:rsid w:val="00831DA4"/>
    <w:rsid w:val="00852E42"/>
    <w:rsid w:val="008858A3"/>
    <w:rsid w:val="00886B42"/>
    <w:rsid w:val="008A6276"/>
    <w:rsid w:val="0092169F"/>
    <w:rsid w:val="00975E25"/>
    <w:rsid w:val="009A499A"/>
    <w:rsid w:val="009C66DB"/>
    <w:rsid w:val="00A01F6C"/>
    <w:rsid w:val="00A1321F"/>
    <w:rsid w:val="00A22655"/>
    <w:rsid w:val="00A715A2"/>
    <w:rsid w:val="00A74C56"/>
    <w:rsid w:val="00AF094C"/>
    <w:rsid w:val="00AF6212"/>
    <w:rsid w:val="00B15110"/>
    <w:rsid w:val="00B61AAC"/>
    <w:rsid w:val="00B74F73"/>
    <w:rsid w:val="00BA2878"/>
    <w:rsid w:val="00BF0C5E"/>
    <w:rsid w:val="00C00DC0"/>
    <w:rsid w:val="00C278E8"/>
    <w:rsid w:val="00C44296"/>
    <w:rsid w:val="00C67BF9"/>
    <w:rsid w:val="00CA575E"/>
    <w:rsid w:val="00D004AC"/>
    <w:rsid w:val="00D10F32"/>
    <w:rsid w:val="00D4063D"/>
    <w:rsid w:val="00D633A9"/>
    <w:rsid w:val="00E655E0"/>
    <w:rsid w:val="00E719C8"/>
    <w:rsid w:val="00EB215F"/>
    <w:rsid w:val="00ED2AC0"/>
    <w:rsid w:val="00EF5122"/>
    <w:rsid w:val="00F0733C"/>
    <w:rsid w:val="00F156FE"/>
    <w:rsid w:val="00F22662"/>
    <w:rsid w:val="00F35B98"/>
    <w:rsid w:val="00F42D3C"/>
    <w:rsid w:val="00F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D29A-4D61-4C23-B6EA-FDCF998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Rangl Robin</cp:lastModifiedBy>
  <cp:revision>3</cp:revision>
  <cp:lastPrinted>2024-06-13T06:47:00Z</cp:lastPrinted>
  <dcterms:created xsi:type="dcterms:W3CDTF">2025-03-11T16:39:00Z</dcterms:created>
  <dcterms:modified xsi:type="dcterms:W3CDTF">2025-04-02T11:52:00Z</dcterms:modified>
</cp:coreProperties>
</file>