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739E9" w14:textId="77777777" w:rsidR="0071125A" w:rsidRPr="00EA606E" w:rsidRDefault="0071125A" w:rsidP="0071125A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M Ě S T O   H A R </w:t>
      </w:r>
      <w:proofErr w:type="spellStart"/>
      <w:r>
        <w:rPr>
          <w:b/>
          <w:sz w:val="40"/>
          <w:szCs w:val="40"/>
        </w:rPr>
        <w:t>R</w:t>
      </w:r>
      <w:proofErr w:type="spellEnd"/>
      <w:r>
        <w:rPr>
          <w:b/>
          <w:sz w:val="40"/>
          <w:szCs w:val="40"/>
        </w:rPr>
        <w:t xml:space="preserve"> A C H O V</w:t>
      </w:r>
    </w:p>
    <w:p w14:paraId="11A56388" w14:textId="77777777" w:rsidR="0071125A" w:rsidRDefault="0071125A" w:rsidP="0071125A">
      <w:pPr>
        <w:jc w:val="center"/>
        <w:rPr>
          <w:b/>
          <w:bCs/>
        </w:rPr>
      </w:pPr>
    </w:p>
    <w:p w14:paraId="1D8672AC" w14:textId="7DE3C517" w:rsidR="00FE6C1F" w:rsidRDefault="0071125A" w:rsidP="0071125A">
      <w:pPr>
        <w:pStyle w:val="Standard"/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>MĚSTA HARRACHOV</w:t>
      </w:r>
    </w:p>
    <w:p w14:paraId="260D0236" w14:textId="77777777" w:rsidR="0071125A" w:rsidRDefault="0071125A" w:rsidP="0071125A">
      <w:pPr>
        <w:pStyle w:val="Standard"/>
        <w:jc w:val="center"/>
        <w:rPr>
          <w:b/>
          <w:sz w:val="20"/>
        </w:rPr>
      </w:pPr>
    </w:p>
    <w:p w14:paraId="49E9F618" w14:textId="77777777" w:rsidR="00FE6C1F" w:rsidRDefault="00D471E9">
      <w:pPr>
        <w:pStyle w:val="Standard"/>
        <w:jc w:val="center"/>
      </w:pPr>
      <w:r>
        <w:rPr>
          <w:b/>
          <w:sz w:val="32"/>
          <w:szCs w:val="32"/>
        </w:rPr>
        <w:t>Obecně závazná vyhláška</w:t>
      </w:r>
    </w:p>
    <w:p w14:paraId="2F92C6BE" w14:textId="77777777" w:rsidR="00FE6C1F" w:rsidRDefault="00FE6C1F">
      <w:pPr>
        <w:pStyle w:val="Textbody"/>
        <w:jc w:val="center"/>
        <w:rPr>
          <w:b/>
          <w:bCs/>
          <w:sz w:val="20"/>
        </w:rPr>
      </w:pPr>
    </w:p>
    <w:p w14:paraId="2CDF4090" w14:textId="21AC0B05" w:rsidR="00FE6C1F" w:rsidRDefault="00D471E9">
      <w:pPr>
        <w:pStyle w:val="Textbody"/>
        <w:jc w:val="center"/>
      </w:pPr>
      <w:r>
        <w:rPr>
          <w:b/>
          <w:bCs/>
          <w:sz w:val="28"/>
          <w:szCs w:val="28"/>
        </w:rPr>
        <w:t>o ochraně veřejné zeleně</w:t>
      </w:r>
    </w:p>
    <w:p w14:paraId="0BBCB07A" w14:textId="78F67407" w:rsidR="00FE6C1F" w:rsidRDefault="00FE6C1F">
      <w:pPr>
        <w:pStyle w:val="Textbody"/>
        <w:rPr>
          <w:b/>
          <w:bCs/>
          <w:sz w:val="20"/>
        </w:rPr>
      </w:pPr>
    </w:p>
    <w:p w14:paraId="21CE2AAE" w14:textId="77777777" w:rsidR="00D471E9" w:rsidRDefault="00D471E9">
      <w:pPr>
        <w:pStyle w:val="Textbody"/>
        <w:rPr>
          <w:b/>
          <w:bCs/>
          <w:sz w:val="20"/>
        </w:rPr>
      </w:pPr>
    </w:p>
    <w:p w14:paraId="60CAFBD4" w14:textId="2B36A567" w:rsidR="00FE6C1F" w:rsidRDefault="00D471E9">
      <w:pPr>
        <w:pStyle w:val="Textbody"/>
      </w:pPr>
      <w:r>
        <w:rPr>
          <w:i/>
        </w:rPr>
        <w:t xml:space="preserve">Zastupitelstvo města </w:t>
      </w:r>
      <w:r w:rsidR="0071125A" w:rsidRPr="00C725DA">
        <w:rPr>
          <w:i/>
        </w:rPr>
        <w:t>Harrachov</w:t>
      </w:r>
      <w:r w:rsidR="0071125A" w:rsidRPr="00AD642E">
        <w:rPr>
          <w:i/>
        </w:rPr>
        <w:t xml:space="preserve"> </w:t>
      </w:r>
      <w:r>
        <w:rPr>
          <w:i/>
        </w:rPr>
        <w:t xml:space="preserve">se na svém zasedání dne </w:t>
      </w:r>
      <w:r w:rsidR="00F57664">
        <w:rPr>
          <w:i/>
        </w:rPr>
        <w:t>07.08.</w:t>
      </w:r>
      <w:r>
        <w:rPr>
          <w:i/>
        </w:rPr>
        <w:t>2024 usneslo vydat na základě § 10 písm. c) a § 84 odst. 2 písm. h) zákona č. 128/2000 Sb., o obcích (obecní zřízení), ve znění pozdějších předpisů, tuto obecně závaznou vyhlášku (dále jen „vyhláška“):</w:t>
      </w:r>
    </w:p>
    <w:p w14:paraId="662BE71A" w14:textId="7D480BAE" w:rsidR="00FE6C1F" w:rsidRDefault="00FE6C1F">
      <w:pPr>
        <w:pStyle w:val="Standard"/>
        <w:jc w:val="both"/>
      </w:pPr>
    </w:p>
    <w:p w14:paraId="4FF51470" w14:textId="77777777" w:rsidR="00D471E9" w:rsidRDefault="00D471E9">
      <w:pPr>
        <w:pStyle w:val="Standard"/>
        <w:jc w:val="both"/>
      </w:pPr>
    </w:p>
    <w:p w14:paraId="3D4DD0A6" w14:textId="77777777" w:rsidR="00FE6C1F" w:rsidRDefault="00D471E9">
      <w:pPr>
        <w:pStyle w:val="Standard"/>
        <w:jc w:val="center"/>
        <w:outlineLvl w:val="1"/>
      </w:pPr>
      <w:r>
        <w:rPr>
          <w:b/>
          <w:bCs/>
        </w:rPr>
        <w:t>Článek 1</w:t>
      </w:r>
      <w:r>
        <w:rPr>
          <w:b/>
          <w:bCs/>
        </w:rPr>
        <w:br/>
        <w:t>Předmět a působnost vyhlášky</w:t>
      </w:r>
    </w:p>
    <w:p w14:paraId="6D4A41F9" w14:textId="77777777" w:rsidR="00FE6C1F" w:rsidRDefault="00FE6C1F">
      <w:pPr>
        <w:pStyle w:val="Standard"/>
        <w:jc w:val="center"/>
        <w:outlineLvl w:val="1"/>
        <w:rPr>
          <w:b/>
          <w:bCs/>
          <w:sz w:val="22"/>
        </w:rPr>
      </w:pPr>
    </w:p>
    <w:p w14:paraId="54D1ED35" w14:textId="0EAA01B4" w:rsidR="00FE6C1F" w:rsidRDefault="00D471E9">
      <w:pPr>
        <w:pStyle w:val="Standard"/>
        <w:numPr>
          <w:ilvl w:val="0"/>
          <w:numId w:val="17"/>
        </w:numPr>
        <w:jc w:val="both"/>
      </w:pPr>
      <w:r>
        <w:t>Tato vyhláška stanoví postupy k ochraně zeleně v zástavbě a ostatní veřejné zeleně</w:t>
      </w:r>
      <w:r w:rsidR="004A5A0F">
        <w:rPr>
          <w:rStyle w:val="Znakapoznpodarou"/>
        </w:rPr>
        <w:footnoteReference w:id="1"/>
      </w:r>
      <w:r w:rsidR="004A5A0F">
        <w:rPr>
          <w:vertAlign w:val="superscript"/>
        </w:rPr>
        <w:t>)</w:t>
      </w:r>
      <w:r>
        <w:t xml:space="preserve"> (dále jen „veřejná zeleň)</w:t>
      </w:r>
      <w:r w:rsidR="004A5A0F">
        <w:t xml:space="preserve"> ve městě Harrachov (dále jen „město“)</w:t>
      </w:r>
      <w:r>
        <w:t>.</w:t>
      </w:r>
    </w:p>
    <w:p w14:paraId="1485FEEC" w14:textId="77777777" w:rsidR="00FE6C1F" w:rsidRDefault="00D471E9">
      <w:pPr>
        <w:pStyle w:val="Standard"/>
        <w:numPr>
          <w:ilvl w:val="0"/>
          <w:numId w:val="10"/>
        </w:numPr>
        <w:jc w:val="both"/>
      </w:pPr>
      <w:r>
        <w:rPr>
          <w:bCs/>
        </w:rPr>
        <w:t>Cílem vyhlášky při regulaci užívání veřejné zeleně je vytvoření dalších podmínek pro ochranu veřejné zeleně nad rámec zákonných povinností, zejména přispět ke zlepšení jejího vzhledu.</w:t>
      </w:r>
    </w:p>
    <w:p w14:paraId="73915017" w14:textId="77777777" w:rsidR="00FE6C1F" w:rsidRDefault="00FE6C1F">
      <w:pPr>
        <w:pStyle w:val="Standard"/>
        <w:outlineLvl w:val="1"/>
        <w:rPr>
          <w:b/>
          <w:bCs/>
          <w:sz w:val="22"/>
        </w:rPr>
      </w:pPr>
    </w:p>
    <w:p w14:paraId="28BA7094" w14:textId="77777777" w:rsidR="00FE6C1F" w:rsidRDefault="00D471E9">
      <w:pPr>
        <w:pStyle w:val="Standard"/>
        <w:jc w:val="center"/>
        <w:outlineLvl w:val="1"/>
      </w:pPr>
      <w:r>
        <w:rPr>
          <w:b/>
          <w:bCs/>
        </w:rPr>
        <w:t>Článek 2</w:t>
      </w:r>
      <w:r>
        <w:rPr>
          <w:b/>
          <w:bCs/>
        </w:rPr>
        <w:br/>
        <w:t>Ochrana veřejné zeleně</w:t>
      </w:r>
    </w:p>
    <w:p w14:paraId="137D98BD" w14:textId="77777777" w:rsidR="00FE6C1F" w:rsidRDefault="00FE6C1F">
      <w:pPr>
        <w:pStyle w:val="Standard"/>
        <w:jc w:val="center"/>
        <w:outlineLvl w:val="1"/>
        <w:rPr>
          <w:b/>
          <w:bCs/>
          <w:sz w:val="22"/>
        </w:rPr>
      </w:pPr>
    </w:p>
    <w:p w14:paraId="54593C43" w14:textId="77777777" w:rsidR="00FE6C1F" w:rsidRDefault="00D471E9">
      <w:pPr>
        <w:pStyle w:val="Standard"/>
        <w:numPr>
          <w:ilvl w:val="0"/>
          <w:numId w:val="18"/>
        </w:numPr>
        <w:jc w:val="both"/>
      </w:pPr>
      <w:r>
        <w:t>Veřejnou zeleň může každý užívat způsobem přiměřeným jejímu účelu, především ke krátkodobé rekreaci a odpočinku.</w:t>
      </w:r>
    </w:p>
    <w:p w14:paraId="7E69B99E" w14:textId="77777777" w:rsidR="00FE6C1F" w:rsidRDefault="00D471E9">
      <w:pPr>
        <w:pStyle w:val="Standard"/>
        <w:numPr>
          <w:ilvl w:val="0"/>
          <w:numId w:val="13"/>
        </w:numPr>
        <w:jc w:val="both"/>
      </w:pPr>
      <w:r>
        <w:t>Každý je ze zákona povinen chovat se tak, aby veřejnou zeleň zejména neznečišťoval</w:t>
      </w:r>
      <w:r>
        <w:rPr>
          <w:rStyle w:val="Znakapoznpodarou"/>
        </w:rPr>
        <w:footnoteReference w:id="2"/>
      </w:r>
      <w:r>
        <w:rPr>
          <w:vertAlign w:val="superscript"/>
        </w:rPr>
        <w:t>)</w:t>
      </w:r>
      <w:r>
        <w:t>, nepoškozoval</w:t>
      </w:r>
      <w:r>
        <w:rPr>
          <w:rStyle w:val="Znakapoznpodarou"/>
        </w:rPr>
        <w:footnoteReference w:id="3"/>
      </w:r>
      <w:r>
        <w:rPr>
          <w:vertAlign w:val="superscript"/>
        </w:rPr>
        <w:t>)</w:t>
      </w:r>
      <w:r>
        <w:t xml:space="preserve"> nebo neužíval jiným zákonem zakázaným způsobem.</w:t>
      </w:r>
    </w:p>
    <w:p w14:paraId="3902D617" w14:textId="77777777" w:rsidR="00FE6C1F" w:rsidRDefault="00D471E9">
      <w:pPr>
        <w:pStyle w:val="Standard"/>
        <w:pageBreakBefore/>
        <w:numPr>
          <w:ilvl w:val="0"/>
          <w:numId w:val="13"/>
        </w:numPr>
      </w:pPr>
      <w:r>
        <w:lastRenderedPageBreak/>
        <w:t>Ve veřejné zeleni je bez souhlasu vlastníka</w:t>
      </w:r>
      <w:r>
        <w:rPr>
          <w:rStyle w:val="Znakapoznpodarou"/>
        </w:rPr>
        <w:footnoteReference w:id="4"/>
      </w:r>
      <w:r>
        <w:rPr>
          <w:vertAlign w:val="superscript"/>
        </w:rPr>
        <w:t xml:space="preserve">) </w:t>
      </w:r>
      <w:r>
        <w:t>veřejné zeleně nadto zakázáno:</w:t>
      </w:r>
    </w:p>
    <w:p w14:paraId="3CDBF537" w14:textId="77777777" w:rsidR="00FE6C1F" w:rsidRDefault="00D471E9">
      <w:pPr>
        <w:pStyle w:val="Standard"/>
        <w:numPr>
          <w:ilvl w:val="1"/>
          <w:numId w:val="9"/>
        </w:numPr>
        <w:tabs>
          <w:tab w:val="left" w:pos="1418"/>
        </w:tabs>
        <w:ind w:left="709" w:hanging="283"/>
        <w:jc w:val="both"/>
      </w:pPr>
      <w:r>
        <w:t>stanování,</w:t>
      </w:r>
    </w:p>
    <w:p w14:paraId="1D3F809A" w14:textId="77777777" w:rsidR="004A5A0F" w:rsidRDefault="004A5A0F" w:rsidP="004A5A0F">
      <w:pPr>
        <w:pStyle w:val="Standard"/>
        <w:numPr>
          <w:ilvl w:val="1"/>
          <w:numId w:val="9"/>
        </w:numPr>
        <w:tabs>
          <w:tab w:val="left" w:pos="1418"/>
        </w:tabs>
        <w:ind w:left="709" w:hanging="283"/>
        <w:jc w:val="both"/>
      </w:pPr>
      <w:r>
        <w:t>bivakování,</w:t>
      </w:r>
    </w:p>
    <w:p w14:paraId="7F9D1231" w14:textId="40C6E6B0" w:rsidR="00D471E9" w:rsidRDefault="00D471E9">
      <w:pPr>
        <w:pStyle w:val="Standard"/>
        <w:numPr>
          <w:ilvl w:val="1"/>
          <w:numId w:val="9"/>
        </w:numPr>
        <w:tabs>
          <w:tab w:val="left" w:pos="1418"/>
        </w:tabs>
        <w:ind w:left="709" w:hanging="283"/>
        <w:jc w:val="both"/>
      </w:pPr>
      <w:r>
        <w:t>nocování,</w:t>
      </w:r>
    </w:p>
    <w:p w14:paraId="5D5B160C" w14:textId="52F3B3E9" w:rsidR="00FE6C1F" w:rsidRDefault="00D471E9">
      <w:pPr>
        <w:pStyle w:val="Standard"/>
        <w:numPr>
          <w:ilvl w:val="1"/>
          <w:numId w:val="9"/>
        </w:numPr>
        <w:tabs>
          <w:tab w:val="left" w:pos="1418"/>
        </w:tabs>
        <w:ind w:left="709" w:hanging="283"/>
        <w:jc w:val="both"/>
      </w:pPr>
      <w:r>
        <w:t>rozdělávání a udržování ohně,</w:t>
      </w:r>
    </w:p>
    <w:p w14:paraId="5F4DABB9" w14:textId="11099A3D" w:rsidR="00D471E9" w:rsidRDefault="00D471E9" w:rsidP="00D471E9">
      <w:pPr>
        <w:pStyle w:val="Standard"/>
        <w:numPr>
          <w:ilvl w:val="1"/>
          <w:numId w:val="9"/>
        </w:numPr>
        <w:tabs>
          <w:tab w:val="left" w:pos="1418"/>
        </w:tabs>
        <w:ind w:left="709" w:hanging="283"/>
        <w:jc w:val="both"/>
      </w:pPr>
      <w:r>
        <w:t>jízda, zastavení a stání motorových i nemotorových vozidel</w:t>
      </w:r>
      <w:r w:rsidR="004A5A0F">
        <w:t>.</w:t>
      </w:r>
    </w:p>
    <w:p w14:paraId="414F3A36" w14:textId="604A0E40" w:rsidR="0071125A" w:rsidRPr="004A5A0F" w:rsidRDefault="0071125A">
      <w:pPr>
        <w:pStyle w:val="Standard"/>
        <w:numPr>
          <w:ilvl w:val="0"/>
          <w:numId w:val="13"/>
        </w:numPr>
        <w:jc w:val="both"/>
      </w:pPr>
      <w:r w:rsidRPr="004A5A0F">
        <w:t xml:space="preserve">Pravidlo stanovené v odst. 3 písm. d) tohoto článku neplatí v den konání tradiční akce </w:t>
      </w:r>
      <w:r w:rsidR="004A5A0F" w:rsidRPr="004A5A0F">
        <w:t>„</w:t>
      </w:r>
      <w:r w:rsidRPr="004A5A0F">
        <w:t>Pálení čarodějnic</w:t>
      </w:r>
      <w:r w:rsidR="004A5A0F" w:rsidRPr="004A5A0F">
        <w:t>“</w:t>
      </w:r>
      <w:r w:rsidRPr="004A5A0F">
        <w:t xml:space="preserve"> dne 30. dubna každého roku a dále se nevztahuje na místa „veřejných ohnišť“ zřízených městem pro tyto účely vymezených v </w:t>
      </w:r>
      <w:r w:rsidR="004A5A0F" w:rsidRPr="004A5A0F">
        <w:t>p</w:t>
      </w:r>
      <w:r w:rsidRPr="004A5A0F">
        <w:t xml:space="preserve">říloze č. </w:t>
      </w:r>
      <w:r w:rsidR="006A4ED6" w:rsidRPr="004A5A0F">
        <w:t>1</w:t>
      </w:r>
      <w:r w:rsidR="004A5A0F" w:rsidRPr="004A5A0F">
        <w:t xml:space="preserve"> této vyhlášky</w:t>
      </w:r>
      <w:r w:rsidRPr="004A5A0F">
        <w:t>.</w:t>
      </w:r>
    </w:p>
    <w:p w14:paraId="27673033" w14:textId="6211D1B6" w:rsidR="00FE6C1F" w:rsidRPr="004A5A0F" w:rsidRDefault="00D471E9">
      <w:pPr>
        <w:pStyle w:val="Standard"/>
        <w:numPr>
          <w:ilvl w:val="0"/>
          <w:numId w:val="13"/>
        </w:numPr>
        <w:jc w:val="both"/>
      </w:pPr>
      <w:r w:rsidRPr="004A5A0F">
        <w:t xml:space="preserve">Pravidlo stanovené v odst. 3 písm. </w:t>
      </w:r>
      <w:r w:rsidR="0071125A" w:rsidRPr="004A5A0F">
        <w:t>e</w:t>
      </w:r>
      <w:r w:rsidRPr="004A5A0F">
        <w:t>) tohoto článku neplatí pro</w:t>
      </w:r>
    </w:p>
    <w:p w14:paraId="3CB0EF7E" w14:textId="4B543808" w:rsidR="00FE6C1F" w:rsidRDefault="00D471E9">
      <w:pPr>
        <w:pStyle w:val="Standard"/>
        <w:widowControl w:val="0"/>
        <w:numPr>
          <w:ilvl w:val="0"/>
          <w:numId w:val="19"/>
        </w:numPr>
        <w:jc w:val="both"/>
      </w:pPr>
      <w:r w:rsidRPr="004A5A0F">
        <w:t>vozidla, která jsou k takovému vjezdu oprávněna na základě zvláštního zákona – např. vozidla Policie ČR, Městské policie, Hasičského záchranného sboru ČR, jednotek sborů dobrovolných hasičů a zdravotnické</w:t>
      </w:r>
      <w:r>
        <w:t xml:space="preserve"> záchranné služby, je-li vjezd na plochu veřejné zeleně nezbytný pro výkon služby (např. hasební zásah),</w:t>
      </w:r>
    </w:p>
    <w:p w14:paraId="6AE07BE1" w14:textId="0A0FECC3" w:rsidR="00FE6C1F" w:rsidRDefault="00D471E9">
      <w:pPr>
        <w:pStyle w:val="Standard"/>
        <w:widowControl w:val="0"/>
        <w:numPr>
          <w:ilvl w:val="0"/>
          <w:numId w:val="15"/>
        </w:numPr>
        <w:jc w:val="both"/>
      </w:pPr>
      <w:r>
        <w:t>vozidla zajišťující opravu, údržbu a čistotu veřejné zeleně</w:t>
      </w:r>
      <w:r w:rsidR="0071125A">
        <w:t>, či instalaci zařízení města</w:t>
      </w:r>
      <w:r>
        <w:t>,</w:t>
      </w:r>
    </w:p>
    <w:p w14:paraId="50CE067A" w14:textId="77777777" w:rsidR="00FE6C1F" w:rsidRDefault="00D471E9">
      <w:pPr>
        <w:pStyle w:val="Standard"/>
        <w:widowControl w:val="0"/>
        <w:numPr>
          <w:ilvl w:val="0"/>
          <w:numId w:val="15"/>
        </w:numPr>
        <w:jc w:val="both"/>
      </w:pPr>
      <w:r>
        <w:t>další případy, kdy tak stanoví nebo umožní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1C1795A1" w14:textId="77777777" w:rsidR="00FE6C1F" w:rsidRDefault="00FE6C1F">
      <w:pPr>
        <w:pStyle w:val="Bezmezer"/>
        <w:tabs>
          <w:tab w:val="left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2FE4B1" w14:textId="5C1BDD9B" w:rsidR="00FE6C1F" w:rsidRDefault="00D471E9">
      <w:pPr>
        <w:pStyle w:val="Bezmezer"/>
        <w:tabs>
          <w:tab w:val="left" w:pos="0"/>
        </w:tabs>
        <w:jc w:val="center"/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A4ED6">
        <w:rPr>
          <w:rFonts w:ascii="Times New Roman" w:hAnsi="Times New Roman"/>
          <w:b/>
          <w:sz w:val="24"/>
          <w:szCs w:val="24"/>
        </w:rPr>
        <w:t>3</w:t>
      </w:r>
    </w:p>
    <w:p w14:paraId="1A655DBA" w14:textId="77777777" w:rsidR="00FE6C1F" w:rsidRDefault="00D471E9">
      <w:pPr>
        <w:pStyle w:val="Standard"/>
        <w:jc w:val="center"/>
      </w:pPr>
      <w:r>
        <w:rPr>
          <w:b/>
          <w:bCs/>
        </w:rPr>
        <w:t>Účinnost</w:t>
      </w:r>
    </w:p>
    <w:p w14:paraId="3DC97320" w14:textId="77777777" w:rsidR="00FE6C1F" w:rsidRDefault="00FE6C1F">
      <w:pPr>
        <w:pStyle w:val="Standard"/>
      </w:pPr>
    </w:p>
    <w:p w14:paraId="74526232" w14:textId="77777777" w:rsidR="00FE6C1F" w:rsidRDefault="00D471E9">
      <w:pPr>
        <w:pStyle w:val="Standard"/>
        <w:jc w:val="both"/>
      </w:pPr>
      <w:r>
        <w:t xml:space="preserve">Tato vyhláška nabývá účinnosti </w:t>
      </w:r>
      <w:r>
        <w:rPr>
          <w:rFonts w:eastAsia="MS Mincho"/>
        </w:rPr>
        <w:t>počátkem patnáctého dne následujícího po dni jejího vyhlášení</w:t>
      </w:r>
      <w:r>
        <w:t>.</w:t>
      </w:r>
    </w:p>
    <w:p w14:paraId="178E149F" w14:textId="1409ABA3" w:rsidR="00FE6C1F" w:rsidRDefault="00FE6C1F">
      <w:pPr>
        <w:pStyle w:val="Standard"/>
      </w:pPr>
    </w:p>
    <w:p w14:paraId="520A5977" w14:textId="77777777" w:rsidR="004A5A0F" w:rsidRPr="004A5A0F" w:rsidRDefault="004A5A0F">
      <w:pPr>
        <w:pStyle w:val="Standard"/>
      </w:pPr>
    </w:p>
    <w:p w14:paraId="40B9E65D" w14:textId="58F53C92" w:rsidR="00FE6C1F" w:rsidRPr="004A5A0F" w:rsidRDefault="00FE6C1F">
      <w:pPr>
        <w:pStyle w:val="Standard"/>
      </w:pPr>
    </w:p>
    <w:p w14:paraId="53219437" w14:textId="4A3FE064" w:rsidR="00D471E9" w:rsidRPr="004A5A0F" w:rsidRDefault="00D471E9">
      <w:pPr>
        <w:pStyle w:val="Standard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A5A0F" w:rsidRPr="004A5A0F" w14:paraId="65D11F64" w14:textId="77777777" w:rsidTr="004A5A0F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1025AAB7" w14:textId="5B62D761" w:rsidR="004A5A0F" w:rsidRPr="004A5A0F" w:rsidRDefault="004A5A0F" w:rsidP="004A5A0F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1012DF1D" w14:textId="6A74177D" w:rsidR="004A5A0F" w:rsidRPr="004A5A0F" w:rsidRDefault="004A5A0F" w:rsidP="004A5A0F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3F060A97" w14:textId="78B35D27" w:rsidR="004A5A0F" w:rsidRPr="004A5A0F" w:rsidRDefault="004A5A0F" w:rsidP="004A5A0F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4A5A0F" w:rsidRPr="004A5A0F" w14:paraId="7076A34D" w14:textId="77777777" w:rsidTr="004A5A0F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26F677D8" w14:textId="6A1A0F71" w:rsidR="004A5A0F" w:rsidRDefault="00341E15" w:rsidP="004A5A0F">
            <w:pPr>
              <w:pStyle w:val="Prosttext"/>
              <w:tabs>
                <w:tab w:val="left" w:pos="4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 w:rsidR="004A5A0F" w:rsidRPr="004A5A0F">
              <w:rPr>
                <w:rFonts w:ascii="Times New Roman" w:hAnsi="Times New Roman" w:cs="Times New Roman"/>
                <w:sz w:val="24"/>
                <w:szCs w:val="24"/>
              </w:rPr>
              <w:t xml:space="preserve">Tomáš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Vašíček</w:t>
            </w:r>
            <w:r w:rsidR="004A5A0F" w:rsidRPr="004A5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AE25AF" w14:textId="04D7C3B7" w:rsidR="004A5A0F" w:rsidRPr="004A5A0F" w:rsidRDefault="004A5A0F" w:rsidP="004A5A0F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A5A0F">
              <w:rPr>
                <w:rFonts w:ascii="Times New Roman" w:hAnsi="Times New Roman" w:cs="Times New Roman"/>
                <w:sz w:val="24"/>
                <w:szCs w:val="24"/>
              </w:rPr>
              <w:t>starosta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0DE862B3" w14:textId="02B603A9" w:rsidR="004A5A0F" w:rsidRPr="004A5A0F" w:rsidRDefault="004A5A0F" w:rsidP="004A5A0F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79CAD010" w14:textId="4804907D" w:rsidR="004A5A0F" w:rsidRDefault="004A5A0F" w:rsidP="004A5A0F">
            <w:pPr>
              <w:pStyle w:val="Prosttext"/>
              <w:tabs>
                <w:tab w:val="left" w:pos="4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0F">
              <w:rPr>
                <w:rFonts w:ascii="Times New Roman" w:hAnsi="Times New Roman" w:cs="Times New Roman"/>
                <w:sz w:val="24"/>
                <w:szCs w:val="24"/>
              </w:rPr>
              <w:t xml:space="preserve">Tomáš </w:t>
            </w:r>
            <w:r w:rsidR="00341E15">
              <w:rPr>
                <w:rFonts w:ascii="Times New Roman" w:hAnsi="Times New Roman" w:cs="Times New Roman"/>
                <w:sz w:val="24"/>
                <w:szCs w:val="24"/>
              </w:rPr>
              <w:t>Ploc</w:t>
            </w:r>
          </w:p>
          <w:p w14:paraId="271F2261" w14:textId="45405F36" w:rsidR="004A5A0F" w:rsidRPr="004A5A0F" w:rsidRDefault="00341E15" w:rsidP="004A5A0F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místo</w:t>
            </w:r>
            <w:r w:rsidR="004A5A0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A5A0F" w:rsidRPr="004A5A0F">
              <w:rPr>
                <w:rFonts w:ascii="Times New Roman" w:hAnsi="Times New Roman" w:cs="Times New Roman"/>
                <w:sz w:val="24"/>
                <w:szCs w:val="24"/>
              </w:rPr>
              <w:t>tarosta</w:t>
            </w:r>
          </w:p>
        </w:tc>
      </w:tr>
    </w:tbl>
    <w:p w14:paraId="29B76A17" w14:textId="77777777" w:rsidR="00D471E9" w:rsidRPr="004A5A0F" w:rsidRDefault="00D471E9" w:rsidP="00D471E9">
      <w:pPr>
        <w:pStyle w:val="Prosttext"/>
        <w:tabs>
          <w:tab w:val="left" w:pos="4172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0943B45" w14:textId="77777777" w:rsidR="006A4ED6" w:rsidRPr="004A5A0F" w:rsidRDefault="006A4ED6">
      <w:pPr>
        <w:rPr>
          <w:sz w:val="24"/>
          <w:szCs w:val="24"/>
        </w:rPr>
      </w:pPr>
      <w:r w:rsidRPr="004A5A0F">
        <w:br w:type="page"/>
      </w:r>
    </w:p>
    <w:p w14:paraId="2069C1A5" w14:textId="77777777" w:rsidR="006A4ED6" w:rsidRDefault="006A4ED6" w:rsidP="006A4ED6">
      <w:pPr>
        <w:pStyle w:val="Textbody"/>
      </w:pPr>
      <w:r w:rsidRPr="007B3FE2">
        <w:rPr>
          <w:b/>
        </w:rPr>
        <w:lastRenderedPageBreak/>
        <w:t xml:space="preserve">Příloha č. 1 obecně závazné vyhlášky </w:t>
      </w:r>
      <w:r w:rsidRPr="006A4ED6">
        <w:rPr>
          <w:b/>
        </w:rPr>
        <w:t>o ochraně veřejné zeleně</w:t>
      </w:r>
    </w:p>
    <w:p w14:paraId="3691FAEE" w14:textId="4A33080C" w:rsidR="00D471E9" w:rsidRDefault="00D471E9">
      <w:pPr>
        <w:pStyle w:val="Standard"/>
      </w:pPr>
    </w:p>
    <w:p w14:paraId="060389AC" w14:textId="02A072D1" w:rsidR="006A4ED6" w:rsidRPr="007B3FE2" w:rsidRDefault="006A4ED6" w:rsidP="006A4E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Přehled veřejných ohnišť</w:t>
      </w:r>
      <w:r w:rsidRPr="007B3FE2">
        <w:rPr>
          <w:b/>
          <w:sz w:val="24"/>
          <w:szCs w:val="24"/>
          <w:u w:val="single"/>
        </w:rPr>
        <w:t>:</w:t>
      </w:r>
    </w:p>
    <w:p w14:paraId="22C8A235" w14:textId="77777777" w:rsidR="006A4ED6" w:rsidRDefault="006A4ED6">
      <w:pPr>
        <w:pStyle w:val="Standard"/>
      </w:pPr>
    </w:p>
    <w:p w14:paraId="02E04EF2" w14:textId="0873C864" w:rsidR="00551DBE" w:rsidRPr="00D471E9" w:rsidRDefault="00551DBE">
      <w:pPr>
        <w:pStyle w:val="Standard"/>
      </w:pPr>
      <w:r>
        <w:t xml:space="preserve">Veřejné ohniště Areál </w:t>
      </w:r>
      <w:proofErr w:type="spellStart"/>
      <w:r>
        <w:t>Pumptrack</w:t>
      </w:r>
      <w:proofErr w:type="spellEnd"/>
      <w:r>
        <w:t xml:space="preserve"> Harrachov – parcelní číslo 647/2</w:t>
      </w:r>
    </w:p>
    <w:sectPr w:rsidR="00551DBE" w:rsidRPr="00D471E9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22662" w14:textId="77777777" w:rsidR="00F64EE9" w:rsidRDefault="00F64EE9">
      <w:r>
        <w:separator/>
      </w:r>
    </w:p>
  </w:endnote>
  <w:endnote w:type="continuationSeparator" w:id="0">
    <w:p w14:paraId="7CBBC454" w14:textId="77777777" w:rsidR="00F64EE9" w:rsidRDefault="00F6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DACC0" w14:textId="77777777" w:rsidR="00F64EE9" w:rsidRDefault="00F64EE9">
      <w:r>
        <w:rPr>
          <w:color w:val="000000"/>
        </w:rPr>
        <w:separator/>
      </w:r>
    </w:p>
  </w:footnote>
  <w:footnote w:type="continuationSeparator" w:id="0">
    <w:p w14:paraId="4F808A02" w14:textId="77777777" w:rsidR="00F64EE9" w:rsidRDefault="00F64EE9">
      <w:r>
        <w:continuationSeparator/>
      </w:r>
    </w:p>
  </w:footnote>
  <w:footnote w:id="1">
    <w:p w14:paraId="2B1004FF" w14:textId="77777777" w:rsidR="004A5A0F" w:rsidRDefault="004A5A0F" w:rsidP="004A5A0F">
      <w:pPr>
        <w:pStyle w:val="Footnote"/>
        <w:spacing w:after="0" w:line="240" w:lineRule="auto"/>
        <w:jc w:val="both"/>
      </w:pPr>
      <w:r>
        <w:rPr>
          <w:rStyle w:val="Znakapoznpodarou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§ 10 písm. c) zákona č. 128/2000 Sb., o obcích (obecní zřízení), ve znění pozdějších předpisů</w:t>
      </w:r>
    </w:p>
  </w:footnote>
  <w:footnote w:id="2">
    <w:p w14:paraId="21A68903" w14:textId="21B3DBFA" w:rsidR="00FE6C1F" w:rsidRDefault="00D471E9">
      <w:pPr>
        <w:pStyle w:val="Footnote"/>
        <w:spacing w:after="0" w:line="240" w:lineRule="auto"/>
        <w:ind w:left="170" w:hanging="170"/>
        <w:jc w:val="both"/>
      </w:pPr>
      <w:r>
        <w:rPr>
          <w:rStyle w:val="Znakapoznpodarou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§ 5 odst. 1 písm. f) zákona č. 251/2016 Sb., o některých přestupcích, ve znění pozdějších předpisů („</w:t>
      </w:r>
      <w:r>
        <w:rPr>
          <w:rFonts w:ascii="Times New Roman" w:hAnsi="Times New Roman"/>
          <w:i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Times New Roman" w:hAnsi="Times New Roman"/>
        </w:rPr>
        <w:t>“) a § 5 odst. 2 písm. b) zákona č. 251/2016 Sb., o některých přestupcích, ve znění pozdějších předpisů („</w:t>
      </w:r>
      <w:r>
        <w:rPr>
          <w:rFonts w:ascii="Times New Roman" w:hAnsi="Times New Roman"/>
          <w:i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Times New Roman" w:hAnsi="Times New Roman"/>
        </w:rPr>
        <w:t>“);</w:t>
      </w:r>
    </w:p>
  </w:footnote>
  <w:footnote w:id="3">
    <w:p w14:paraId="0CE2EB7E" w14:textId="76D89D22" w:rsidR="00FE6C1F" w:rsidRDefault="00D471E9">
      <w:pPr>
        <w:pStyle w:val="Footnote"/>
        <w:spacing w:after="0" w:line="240" w:lineRule="auto"/>
        <w:ind w:left="170" w:hanging="170"/>
        <w:jc w:val="both"/>
      </w:pPr>
      <w:r>
        <w:rPr>
          <w:rStyle w:val="Znakapoznpodarou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§ 5 odst. 1 písm. g) zákona č. 251/2016 Sb., o některých přestupcích, ve znění pozdějších předpisů („</w:t>
      </w:r>
      <w:r>
        <w:rPr>
          <w:rFonts w:ascii="Times New Roman" w:hAnsi="Times New Roman"/>
          <w:i/>
        </w:rPr>
        <w:t>Fyzická osoba se dopustí přestupku tím, že poškodí nebo neoprávněně zabere veřejné prostranství, veřejně přístupný objekt nebo veřejně prospěšné zařízení, jde-li o případy, které nelze postihnout podle jiných zákonů.</w:t>
      </w:r>
      <w:r>
        <w:rPr>
          <w:rFonts w:ascii="Times New Roman" w:hAnsi="Times New Roman"/>
        </w:rPr>
        <w:t>“) a § 5 odst. 2 písm. g) zákona č. 251/2016 Sb., o některých přestupcích, ve znění pozdějších předpisů („</w:t>
      </w:r>
      <w:r>
        <w:rPr>
          <w:rFonts w:ascii="Times New Roman" w:hAnsi="Times New Roman"/>
          <w:i/>
        </w:rPr>
        <w:t>Právnická nebo podnikající fyzická osoba se dopustí přestupku tím, že poškodí nebo neoprávněně zabere veřejné prostranství, veřejně přístupný objekt nebo veřejně prospěšné zařízení, jde-li o případy, které nelze postihnout podle jiných zákonů.</w:t>
      </w:r>
      <w:r>
        <w:rPr>
          <w:rFonts w:ascii="Times New Roman" w:hAnsi="Times New Roman"/>
        </w:rPr>
        <w:t>“)</w:t>
      </w:r>
    </w:p>
  </w:footnote>
  <w:footnote w:id="4">
    <w:p w14:paraId="78710B79" w14:textId="77777777" w:rsidR="00FE6C1F" w:rsidRDefault="00D471E9">
      <w:pPr>
        <w:pStyle w:val="Footnote"/>
        <w:spacing w:after="0" w:line="240" w:lineRule="auto"/>
        <w:ind w:left="170" w:hanging="170"/>
        <w:jc w:val="both"/>
      </w:pPr>
      <w:r>
        <w:rPr>
          <w:rStyle w:val="Znakapoznpodarou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§ 8 odst. 1 písm. b) zákona č. 251/2016 Sb., o některých přestupcích („</w:t>
      </w:r>
      <w:r>
        <w:rPr>
          <w:rFonts w:ascii="Times New Roman" w:hAnsi="Times New Roman"/>
          <w:i/>
        </w:rPr>
        <w:t>Fyzická osoba se dopustí přestupku tím, že neoprávněně užívá cizí majetek.</w:t>
      </w:r>
      <w:r>
        <w:rPr>
          <w:rFonts w:ascii="Times New Roman" w:hAnsi="Times New Roman"/>
        </w:rPr>
        <w:t>“) a § 8 odst. 2 písm. b) zákona č. 251/2016 Sb., o některých přestupcích („</w:t>
      </w:r>
      <w:r>
        <w:rPr>
          <w:rFonts w:ascii="Times New Roman" w:hAnsi="Times New Roman"/>
          <w:i/>
        </w:rPr>
        <w:t>Právnická nebo podnikající fyzická osoba se dopustí přestupku tím, že neoprávněně užívá cizí majetek.</w:t>
      </w:r>
      <w:r>
        <w:rPr>
          <w:rFonts w:ascii="Times New Roman" w:hAnsi="Times New Roman"/>
        </w:rPr>
        <w:t>“)</w:t>
      </w:r>
    </w:p>
  </w:footnote>
  <w:footnote w:id="5">
    <w:p w14:paraId="23D224D5" w14:textId="77777777" w:rsidR="00FE6C1F" w:rsidRDefault="00D471E9">
      <w:pPr>
        <w:pStyle w:val="Footnote"/>
        <w:spacing w:after="0" w:line="240" w:lineRule="auto"/>
        <w:jc w:val="both"/>
      </w:pPr>
      <w:r>
        <w:rPr>
          <w:rStyle w:val="Znakapoznpodarou"/>
        </w:rPr>
        <w:foot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např. při použití vozidla v rámci krajní nouze nebo při nutné obraně</w:t>
      </w:r>
    </w:p>
    <w:p w14:paraId="4FDBCD3B" w14:textId="77777777" w:rsidR="00FE6C1F" w:rsidRDefault="00FE6C1F">
      <w:pPr>
        <w:pStyle w:val="Footnote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6CF0"/>
    <w:multiLevelType w:val="multilevel"/>
    <w:tmpl w:val="F0741B1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5E7D"/>
    <w:multiLevelType w:val="multilevel"/>
    <w:tmpl w:val="6938E9C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76C67"/>
    <w:multiLevelType w:val="multilevel"/>
    <w:tmpl w:val="F0B6262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155E"/>
    <w:multiLevelType w:val="multilevel"/>
    <w:tmpl w:val="FD065940"/>
    <w:styleLink w:val="WWNum14"/>
    <w:lvl w:ilvl="0">
      <w:start w:val="1"/>
      <w:numFmt w:val="decimal"/>
      <w:lvlText w:val="%1)"/>
      <w:lvlJc w:val="left"/>
      <w:pPr>
        <w:ind w:left="357" w:hanging="357"/>
      </w:pPr>
      <w:rPr>
        <w:rFonts w:eastAsia="Times New Roman"/>
      </w:rPr>
    </w:lvl>
    <w:lvl w:ilvl="1">
      <w:start w:val="1"/>
      <w:numFmt w:val="lowerLetter"/>
      <w:lvlText w:val="%2)"/>
      <w:lvlJc w:val="left"/>
      <w:pPr>
        <w:ind w:left="720" w:hanging="36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652C"/>
    <w:multiLevelType w:val="multilevel"/>
    <w:tmpl w:val="4060FE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A6A6EBC"/>
    <w:multiLevelType w:val="multilevel"/>
    <w:tmpl w:val="CDE461C8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D31A0"/>
    <w:multiLevelType w:val="multilevel"/>
    <w:tmpl w:val="2842EA74"/>
    <w:styleLink w:val="WWNum13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C45BA"/>
    <w:multiLevelType w:val="multilevel"/>
    <w:tmpl w:val="50B0C0BC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E059A"/>
    <w:multiLevelType w:val="multilevel"/>
    <w:tmpl w:val="2320CE9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1AA7613"/>
    <w:multiLevelType w:val="multilevel"/>
    <w:tmpl w:val="15C225E4"/>
    <w:styleLink w:val="WWNum10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30D69"/>
    <w:multiLevelType w:val="multilevel"/>
    <w:tmpl w:val="36748944"/>
    <w:styleLink w:val="WWNum12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501C4"/>
    <w:multiLevelType w:val="multilevel"/>
    <w:tmpl w:val="CE1A7140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F6A16"/>
    <w:multiLevelType w:val="multilevel"/>
    <w:tmpl w:val="55EA8A78"/>
    <w:styleLink w:val="WWNum9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D1F04"/>
    <w:multiLevelType w:val="multilevel"/>
    <w:tmpl w:val="3A006652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A7448"/>
    <w:multiLevelType w:val="multilevel"/>
    <w:tmpl w:val="9ECA4EC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042FA"/>
    <w:multiLevelType w:val="multilevel"/>
    <w:tmpl w:val="74822D2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6102630">
    <w:abstractNumId w:val="4"/>
  </w:num>
  <w:num w:numId="2" w16cid:durableId="2036807757">
    <w:abstractNumId w:val="8"/>
  </w:num>
  <w:num w:numId="3" w16cid:durableId="1837501958">
    <w:abstractNumId w:val="14"/>
  </w:num>
  <w:num w:numId="4" w16cid:durableId="367725223">
    <w:abstractNumId w:val="2"/>
  </w:num>
  <w:num w:numId="5" w16cid:durableId="1540774617">
    <w:abstractNumId w:val="15"/>
  </w:num>
  <w:num w:numId="6" w16cid:durableId="683363040">
    <w:abstractNumId w:val="11"/>
  </w:num>
  <w:num w:numId="7" w16cid:durableId="1695033525">
    <w:abstractNumId w:val="1"/>
  </w:num>
  <w:num w:numId="8" w16cid:durableId="1191257860">
    <w:abstractNumId w:val="0"/>
  </w:num>
  <w:num w:numId="9" w16cid:durableId="1500192098">
    <w:abstractNumId w:val="12"/>
  </w:num>
  <w:num w:numId="10" w16cid:durableId="256058958">
    <w:abstractNumId w:val="9"/>
  </w:num>
  <w:num w:numId="11" w16cid:durableId="1497067976">
    <w:abstractNumId w:val="13"/>
  </w:num>
  <w:num w:numId="12" w16cid:durableId="362554669">
    <w:abstractNumId w:val="10"/>
  </w:num>
  <w:num w:numId="13" w16cid:durableId="718630850">
    <w:abstractNumId w:val="6"/>
  </w:num>
  <w:num w:numId="14" w16cid:durableId="851796995">
    <w:abstractNumId w:val="3"/>
  </w:num>
  <w:num w:numId="15" w16cid:durableId="1501963339">
    <w:abstractNumId w:val="5"/>
  </w:num>
  <w:num w:numId="16" w16cid:durableId="1025716437">
    <w:abstractNumId w:val="7"/>
  </w:num>
  <w:num w:numId="17" w16cid:durableId="1808695081">
    <w:abstractNumId w:val="9"/>
    <w:lvlOverride w:ilvl="0">
      <w:startOverride w:val="1"/>
    </w:lvlOverride>
  </w:num>
  <w:num w:numId="18" w16cid:durableId="721485936">
    <w:abstractNumId w:val="6"/>
    <w:lvlOverride w:ilvl="0">
      <w:startOverride w:val="1"/>
    </w:lvlOverride>
  </w:num>
  <w:num w:numId="19" w16cid:durableId="1966034934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1F"/>
    <w:rsid w:val="00027920"/>
    <w:rsid w:val="00170ED4"/>
    <w:rsid w:val="00341E15"/>
    <w:rsid w:val="003D6FCA"/>
    <w:rsid w:val="0043765F"/>
    <w:rsid w:val="004A2AC7"/>
    <w:rsid w:val="004A5A0F"/>
    <w:rsid w:val="00551DBE"/>
    <w:rsid w:val="006A4ED6"/>
    <w:rsid w:val="0071125A"/>
    <w:rsid w:val="0076188A"/>
    <w:rsid w:val="007B54C8"/>
    <w:rsid w:val="007F2E06"/>
    <w:rsid w:val="0086662E"/>
    <w:rsid w:val="00921D1F"/>
    <w:rsid w:val="00980A4E"/>
    <w:rsid w:val="00A16A8A"/>
    <w:rsid w:val="00B4683D"/>
    <w:rsid w:val="00D17EA6"/>
    <w:rsid w:val="00D471E9"/>
    <w:rsid w:val="00D73AC8"/>
    <w:rsid w:val="00F55ABB"/>
    <w:rsid w:val="00F57664"/>
    <w:rsid w:val="00F64EE9"/>
    <w:rsid w:val="00F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1940"/>
  <w15:docId w15:val="{9F6BF4DD-87F3-4B8D-A65F-20E3BDE9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eastAsia="Arial Unicode MS"/>
      <w:b/>
      <w:bCs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jc w:val="center"/>
      <w:outlineLvl w:val="5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uiPriority w:val="10"/>
    <w:qFormat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Bezmezer">
    <w:name w:val="No Spacing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otnote">
    <w:name w:val="Footnote"/>
    <w:basedOn w:val="Standard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Textparagrafu">
    <w:name w:val="Text paragrafu"/>
    <w:basedOn w:val="Standard"/>
    <w:pPr>
      <w:spacing w:before="240"/>
      <w:ind w:firstLine="425"/>
      <w:jc w:val="both"/>
    </w:pPr>
  </w:style>
  <w:style w:type="paragraph" w:styleId="Zkladntext3">
    <w:name w:val="Body Text 3"/>
    <w:basedOn w:val="Standard"/>
    <w:pPr>
      <w:spacing w:after="120"/>
    </w:pPr>
    <w:rPr>
      <w:sz w:val="16"/>
      <w:szCs w:val="16"/>
    </w:rPr>
  </w:style>
  <w:style w:type="paragraph" w:styleId="Prosttext">
    <w:name w:val="Plain Text"/>
    <w:basedOn w:val="Standard"/>
    <w:rPr>
      <w:rFonts w:ascii="Courier New" w:eastAsia="Courier New" w:hAnsi="Courier New" w:cs="Courier New"/>
      <w:sz w:val="20"/>
      <w:szCs w:val="20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TextpoznpodarouChar">
    <w:name w:val="Text pozn. pod čarou Char"/>
    <w:link w:val="Textpoznpodarou"/>
    <w:rPr>
      <w:rFonts w:ascii="Calibri" w:eastAsia="Calibri" w:hAnsi="Calibri" w:cs="Calibri"/>
      <w:lang w:eastAsia="en-US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ProsttextChar">
    <w:name w:val="Prostý text Char"/>
    <w:basedOn w:val="Standardnpsmoodstavce"/>
    <w:rPr>
      <w:rFonts w:ascii="Courier New" w:eastAsia="Courier New" w:hAnsi="Courier New" w:cs="Courier New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basedOn w:val="TextkomenteChar"/>
    <w:rPr>
      <w:b/>
      <w:bCs/>
    </w:rPr>
  </w:style>
  <w:style w:type="character" w:customStyle="1" w:styleId="TextbublinyChar">
    <w:name w:val="Text bubliny Char"/>
    <w:basedOn w:val="Standardnpsmoodstavce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rFonts w:eastAsia="Times New Roman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rsid w:val="0071125A"/>
    <w:pPr>
      <w:widowControl/>
      <w:suppressAutoHyphens w:val="0"/>
      <w:autoSpaceDN/>
      <w:textAlignment w:val="auto"/>
    </w:pPr>
    <w:rPr>
      <w:rFonts w:ascii="Calibri" w:eastAsia="Calibri" w:hAnsi="Calibri" w:cs="Calibri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71125A"/>
  </w:style>
  <w:style w:type="table" w:styleId="Mkatabulky">
    <w:name w:val="Table Grid"/>
    <w:basedOn w:val="Normlntabulka"/>
    <w:uiPriority w:val="39"/>
    <w:rsid w:val="004A5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M E Z I B O Ř Í</dc:title>
  <dc:creator>K11</dc:creator>
  <cp:lastModifiedBy>sekretariat</cp:lastModifiedBy>
  <cp:revision>2</cp:revision>
  <cp:lastPrinted>2024-07-24T14:04:00Z</cp:lastPrinted>
  <dcterms:created xsi:type="dcterms:W3CDTF">2024-08-08T13:17:00Z</dcterms:created>
  <dcterms:modified xsi:type="dcterms:W3CDTF">2024-08-08T13:17:00Z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Město Meziboří</vt:lpwstr>
  </property>
</Properties>
</file>