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69" w:rsidRDefault="0069192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OBEC </w:t>
      </w:r>
      <w:r>
        <w:rPr>
          <w:rFonts w:ascii="Arial" w:hAnsi="Arial" w:cs="Arial"/>
          <w:b/>
          <w:sz w:val="20"/>
          <w:szCs w:val="20"/>
        </w:rPr>
        <w:t>SÁZAVA</w:t>
      </w:r>
    </w:p>
    <w:p w:rsidR="00B37769" w:rsidRDefault="0069192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Zastupitelstvo obce </w:t>
      </w:r>
      <w:r>
        <w:rPr>
          <w:rFonts w:ascii="Arial" w:hAnsi="Arial" w:cs="Arial"/>
          <w:b/>
          <w:sz w:val="20"/>
          <w:szCs w:val="20"/>
        </w:rPr>
        <w:t>Sázava</w:t>
      </w:r>
    </w:p>
    <w:p w:rsidR="00B37769" w:rsidRDefault="00B37769">
      <w:pPr>
        <w:spacing w:after="0"/>
        <w:jc w:val="center"/>
        <w:rPr>
          <w:b/>
          <w:bCs/>
          <w:sz w:val="32"/>
          <w:szCs w:val="32"/>
        </w:rPr>
      </w:pPr>
    </w:p>
    <w:p w:rsidR="00B37769" w:rsidRDefault="0069192D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Obecně závazná vyhláška obce Sázavy</w:t>
      </w:r>
    </w:p>
    <w:p w:rsidR="00B37769" w:rsidRDefault="0069192D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 stanovení koeficientu pro výpočet daně z nemovitých věcí</w:t>
      </w:r>
    </w:p>
    <w:p w:rsidR="00B37769" w:rsidRDefault="00B37769">
      <w:pPr>
        <w:spacing w:after="0"/>
        <w:jc w:val="center"/>
        <w:rPr>
          <w:b/>
          <w:bCs/>
          <w:sz w:val="28"/>
          <w:szCs w:val="28"/>
        </w:rPr>
      </w:pPr>
    </w:p>
    <w:p w:rsidR="00B37769" w:rsidRDefault="006919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Sázava se na svém zasedání dne </w:t>
      </w:r>
      <w:proofErr w:type="gramStart"/>
      <w:r>
        <w:rPr>
          <w:sz w:val="24"/>
          <w:szCs w:val="24"/>
        </w:rPr>
        <w:t>13</w:t>
      </w:r>
      <w:bookmarkStart w:id="0" w:name="_GoBack"/>
      <w:bookmarkEnd w:id="0"/>
      <w:r>
        <w:rPr>
          <w:sz w:val="24"/>
          <w:szCs w:val="24"/>
        </w:rPr>
        <w:t>.11.2023</w:t>
      </w:r>
      <w:proofErr w:type="gramEnd"/>
      <w:r>
        <w:rPr>
          <w:sz w:val="24"/>
          <w:szCs w:val="24"/>
        </w:rPr>
        <w:t xml:space="preserve"> usnesením </w:t>
      </w:r>
      <w:r>
        <w:rPr>
          <w:sz w:val="24"/>
          <w:szCs w:val="24"/>
        </w:rPr>
        <w:t xml:space="preserve">usneslo vydat na základě § 6 odst. 4 písm. b), </w:t>
      </w:r>
      <w:r>
        <w:rPr>
          <w:sz w:val="24"/>
          <w:szCs w:val="24"/>
        </w:rPr>
        <w:t xml:space="preserve">§ 11 odst. 3 písm. a) a b) zákona č. 338/1992 Sb., o dani z nemovitých věcí, ve znění pozdějších předpisů (dále jen „zákon o dani z nemovitých věcí“)  a § 84 odst. 2 písm. h) zákona č. 128/2000 Sb., o obcích (obecní zřízení), ve znění pozdějších předpisů, </w:t>
      </w:r>
      <w:r>
        <w:rPr>
          <w:sz w:val="24"/>
          <w:szCs w:val="24"/>
        </w:rPr>
        <w:t>tuto obecně závaznou vyhlášku (dále jen „vyhláška“):</w:t>
      </w:r>
    </w:p>
    <w:p w:rsidR="00B37769" w:rsidRDefault="00B37769">
      <w:pPr>
        <w:spacing w:after="0"/>
        <w:jc w:val="both"/>
        <w:rPr>
          <w:sz w:val="24"/>
          <w:szCs w:val="24"/>
        </w:rPr>
      </w:pPr>
    </w:p>
    <w:p w:rsidR="00B37769" w:rsidRDefault="00B37769">
      <w:pPr>
        <w:spacing w:after="0"/>
        <w:jc w:val="both"/>
        <w:rPr>
          <w:sz w:val="24"/>
          <w:szCs w:val="24"/>
        </w:rPr>
      </w:pPr>
    </w:p>
    <w:p w:rsidR="00B37769" w:rsidRDefault="0069192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1</w:t>
      </w:r>
    </w:p>
    <w:p w:rsidR="00B37769" w:rsidRDefault="0069192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Pozemky</w:t>
      </w:r>
    </w:p>
    <w:p w:rsidR="00B37769" w:rsidRDefault="00B37769">
      <w:pPr>
        <w:spacing w:after="0"/>
        <w:rPr>
          <w:sz w:val="24"/>
          <w:szCs w:val="24"/>
        </w:rPr>
      </w:pPr>
    </w:p>
    <w:p w:rsidR="00B37769" w:rsidRDefault="006919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stavebních pozemků se stanovuje koeficient, kterým se násobí základní sazba daně stanovené dle § 6 odst. 2 písm. </w:t>
      </w:r>
      <w:r>
        <w:rPr>
          <w:sz w:val="24"/>
          <w:szCs w:val="24"/>
        </w:rPr>
        <w:t>b)</w:t>
      </w:r>
      <w:r>
        <w:rPr>
          <w:sz w:val="24"/>
          <w:szCs w:val="24"/>
        </w:rPr>
        <w:t xml:space="preserve"> zákona o dani z nemovitých věcí,</w:t>
      </w:r>
      <w:r>
        <w:rPr>
          <w:sz w:val="24"/>
          <w:szCs w:val="24"/>
        </w:rPr>
        <w:t xml:space="preserve"> v následující výši:</w:t>
      </w:r>
    </w:p>
    <w:p w:rsidR="00B37769" w:rsidRDefault="00B37769">
      <w:pPr>
        <w:spacing w:after="0"/>
        <w:jc w:val="both"/>
        <w:rPr>
          <w:sz w:val="24"/>
          <w:szCs w:val="24"/>
        </w:rPr>
      </w:pPr>
    </w:p>
    <w:p w:rsidR="00B37769" w:rsidRDefault="0069192D">
      <w:pPr>
        <w:numPr>
          <w:ilvl w:val="0"/>
          <w:numId w:val="1"/>
        </w:numPr>
        <w:spacing w:after="0"/>
        <w:ind w:left="660"/>
        <w:rPr>
          <w:sz w:val="24"/>
          <w:szCs w:val="24"/>
        </w:rPr>
      </w:pPr>
      <w:r>
        <w:rPr>
          <w:sz w:val="24"/>
          <w:szCs w:val="24"/>
        </w:rPr>
        <w:t xml:space="preserve"> katastrální ú</w:t>
      </w:r>
      <w:r>
        <w:rPr>
          <w:sz w:val="24"/>
          <w:szCs w:val="24"/>
        </w:rPr>
        <w:t>zemí Sázava u Žďáru nad Sázavou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koeficient</w:t>
      </w:r>
      <w:r>
        <w:rPr>
          <w:b/>
          <w:bCs/>
          <w:sz w:val="24"/>
          <w:szCs w:val="24"/>
        </w:rPr>
        <w:t xml:space="preserve"> 1</w:t>
      </w:r>
      <w:r>
        <w:rPr>
          <w:sz w:val="24"/>
          <w:szCs w:val="24"/>
        </w:rPr>
        <w:t>,</w:t>
      </w:r>
    </w:p>
    <w:p w:rsidR="00B37769" w:rsidRDefault="0069192D">
      <w:pPr>
        <w:numPr>
          <w:ilvl w:val="0"/>
          <w:numId w:val="1"/>
        </w:numPr>
        <w:spacing w:after="0"/>
        <w:ind w:left="660"/>
        <w:rPr>
          <w:sz w:val="24"/>
          <w:szCs w:val="24"/>
        </w:rPr>
      </w:pPr>
      <w:r>
        <w:rPr>
          <w:sz w:val="24"/>
          <w:szCs w:val="24"/>
        </w:rPr>
        <w:t xml:space="preserve"> Katastrální území Česká Mez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koeficient </w:t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B37769" w:rsidRDefault="00B37769">
      <w:pPr>
        <w:spacing w:after="0"/>
        <w:rPr>
          <w:sz w:val="24"/>
          <w:szCs w:val="24"/>
        </w:rPr>
      </w:pPr>
    </w:p>
    <w:p w:rsidR="00B37769" w:rsidRDefault="00B37769">
      <w:pPr>
        <w:spacing w:after="0"/>
        <w:rPr>
          <w:sz w:val="24"/>
          <w:szCs w:val="24"/>
        </w:rPr>
      </w:pPr>
    </w:p>
    <w:p w:rsidR="00B37769" w:rsidRDefault="00B37769">
      <w:pPr>
        <w:spacing w:after="0"/>
        <w:rPr>
          <w:sz w:val="24"/>
          <w:szCs w:val="24"/>
        </w:rPr>
      </w:pPr>
    </w:p>
    <w:p w:rsidR="00B37769" w:rsidRDefault="0069192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2</w:t>
      </w:r>
    </w:p>
    <w:p w:rsidR="00B37769" w:rsidRDefault="0069192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Zdanitelné stavby a zdanitelné jednotky</w:t>
      </w:r>
    </w:p>
    <w:p w:rsidR="00B37769" w:rsidRDefault="00B37769">
      <w:pPr>
        <w:spacing w:after="0"/>
        <w:rPr>
          <w:sz w:val="24"/>
          <w:szCs w:val="24"/>
        </w:rPr>
      </w:pPr>
    </w:p>
    <w:p w:rsidR="00B37769" w:rsidRDefault="0069192D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>
        <w:rPr>
          <w:sz w:val="24"/>
          <w:szCs w:val="24"/>
        </w:rPr>
        <w:t>zdanitelných staveb a</w:t>
      </w:r>
      <w:r>
        <w:rPr>
          <w:sz w:val="24"/>
          <w:szCs w:val="24"/>
        </w:rPr>
        <w:t xml:space="preserve"> u zdanitelných </w:t>
      </w:r>
      <w:proofErr w:type="gramStart"/>
      <w:r>
        <w:rPr>
          <w:sz w:val="24"/>
          <w:szCs w:val="24"/>
        </w:rPr>
        <w:t xml:space="preserve">jednotek </w:t>
      </w:r>
      <w:r>
        <w:rPr>
          <w:sz w:val="24"/>
          <w:szCs w:val="24"/>
        </w:rPr>
        <w:t xml:space="preserve"> se</w:t>
      </w:r>
      <w:proofErr w:type="gramEnd"/>
      <w:r>
        <w:rPr>
          <w:sz w:val="24"/>
          <w:szCs w:val="24"/>
        </w:rPr>
        <w:t xml:space="preserve"> stanovuje koeficient, kterým se násobí základní sazba dle</w:t>
      </w:r>
      <w:r>
        <w:rPr>
          <w:sz w:val="24"/>
          <w:szCs w:val="24"/>
        </w:rPr>
        <w:t xml:space="preserve"> § 11 odst. 1 písm. a) a f) zákona o dani z nemovitých věcí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případně sazba daně zvýšená podle § 11 odst. 2 zákona o dani z nemovitých věcí, v</w:t>
      </w:r>
      <w:r>
        <w:rPr>
          <w:sz w:val="24"/>
          <w:szCs w:val="24"/>
        </w:rPr>
        <w:t xml:space="preserve"> následující</w:t>
      </w:r>
      <w:r>
        <w:rPr>
          <w:sz w:val="24"/>
          <w:szCs w:val="24"/>
        </w:rPr>
        <w:t xml:space="preserve"> výši</w:t>
      </w:r>
      <w:r>
        <w:rPr>
          <w:sz w:val="24"/>
          <w:szCs w:val="24"/>
        </w:rPr>
        <w:t>:</w:t>
      </w:r>
    </w:p>
    <w:p w:rsidR="00B37769" w:rsidRDefault="00B37769">
      <w:pPr>
        <w:pStyle w:val="Odstavecseseznamem"/>
        <w:spacing w:after="0"/>
        <w:ind w:left="360"/>
        <w:jc w:val="both"/>
        <w:rPr>
          <w:sz w:val="24"/>
          <w:szCs w:val="24"/>
        </w:rPr>
      </w:pPr>
    </w:p>
    <w:p w:rsidR="00B37769" w:rsidRDefault="0069192D">
      <w:pPr>
        <w:numPr>
          <w:ilvl w:val="0"/>
          <w:numId w:val="1"/>
        </w:numPr>
        <w:spacing w:after="0"/>
        <w:ind w:left="660"/>
        <w:rPr>
          <w:sz w:val="24"/>
          <w:szCs w:val="24"/>
        </w:rPr>
      </w:pPr>
      <w:r>
        <w:rPr>
          <w:sz w:val="24"/>
          <w:szCs w:val="24"/>
        </w:rPr>
        <w:t xml:space="preserve"> katastrální území Sázava u Žďáru nad Sázavou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koeficient</w:t>
      </w:r>
      <w:r>
        <w:rPr>
          <w:b/>
          <w:bCs/>
          <w:sz w:val="24"/>
          <w:szCs w:val="24"/>
        </w:rPr>
        <w:t xml:space="preserve"> 1</w:t>
      </w:r>
      <w:r>
        <w:rPr>
          <w:sz w:val="24"/>
          <w:szCs w:val="24"/>
        </w:rPr>
        <w:t>,</w:t>
      </w:r>
    </w:p>
    <w:p w:rsidR="00B37769" w:rsidRDefault="0069192D">
      <w:pPr>
        <w:numPr>
          <w:ilvl w:val="0"/>
          <w:numId w:val="1"/>
        </w:numPr>
        <w:spacing w:after="0"/>
        <w:ind w:left="660"/>
        <w:rPr>
          <w:sz w:val="24"/>
          <w:szCs w:val="24"/>
        </w:rPr>
      </w:pPr>
      <w:r>
        <w:rPr>
          <w:sz w:val="24"/>
          <w:szCs w:val="24"/>
        </w:rPr>
        <w:t xml:space="preserve"> Katastrální území Česká Mez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koeficient </w:t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B37769" w:rsidRDefault="00B37769">
      <w:pPr>
        <w:pStyle w:val="Odstavecseseznamem"/>
        <w:spacing w:after="0"/>
        <w:ind w:left="36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ind w:left="360"/>
        <w:rPr>
          <w:sz w:val="24"/>
          <w:szCs w:val="24"/>
        </w:rPr>
      </w:pPr>
    </w:p>
    <w:p w:rsidR="00B37769" w:rsidRDefault="0069192D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>
        <w:rPr>
          <w:sz w:val="24"/>
          <w:szCs w:val="24"/>
        </w:rPr>
        <w:t xml:space="preserve">zdanitelných staveb a zdanitelných jednotek </w:t>
      </w:r>
      <w:r>
        <w:rPr>
          <w:sz w:val="24"/>
          <w:szCs w:val="24"/>
        </w:rPr>
        <w:t xml:space="preserve">uvedených v § 11 odst. 1 písm. 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bodu 2. a 3. </w:t>
      </w:r>
      <w:r>
        <w:rPr>
          <w:sz w:val="24"/>
          <w:szCs w:val="24"/>
        </w:rPr>
        <w:t>zákona o dani z nemovitých věcí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stanovuje koeficient, kterým se násobí základní sazb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daně, zvýšená podle § 11 odst. 2 o dani z nemovitých věcí</w:t>
      </w:r>
      <w:r>
        <w:rPr>
          <w:sz w:val="24"/>
          <w:szCs w:val="24"/>
        </w:rPr>
        <w:t>, ve výši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1,5</w:t>
      </w:r>
      <w:r>
        <w:rPr>
          <w:sz w:val="24"/>
          <w:szCs w:val="24"/>
        </w:rPr>
        <w:t>.</w:t>
      </w:r>
    </w:p>
    <w:p w:rsidR="00B37769" w:rsidRDefault="00B37769">
      <w:pPr>
        <w:pStyle w:val="Odstavecseseznamem"/>
        <w:spacing w:after="0"/>
        <w:jc w:val="center"/>
        <w:rPr>
          <w:b/>
          <w:bCs/>
          <w:sz w:val="28"/>
          <w:szCs w:val="28"/>
        </w:rPr>
      </w:pPr>
    </w:p>
    <w:p w:rsidR="00B37769" w:rsidRDefault="00B37769">
      <w:pPr>
        <w:pStyle w:val="Odstavecseseznamem"/>
        <w:spacing w:after="0"/>
        <w:jc w:val="center"/>
        <w:rPr>
          <w:b/>
          <w:bCs/>
          <w:sz w:val="28"/>
          <w:szCs w:val="28"/>
        </w:rPr>
      </w:pPr>
    </w:p>
    <w:p w:rsidR="00B37769" w:rsidRDefault="00B37769">
      <w:pPr>
        <w:pStyle w:val="Odstavecseseznamem"/>
        <w:spacing w:after="0"/>
        <w:jc w:val="center"/>
        <w:rPr>
          <w:b/>
          <w:bCs/>
          <w:sz w:val="28"/>
          <w:szCs w:val="28"/>
        </w:rPr>
      </w:pPr>
    </w:p>
    <w:p w:rsidR="00B37769" w:rsidRDefault="0069192D">
      <w:pPr>
        <w:pStyle w:val="Odstavecseseznamem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Čl. </w:t>
      </w:r>
      <w:r>
        <w:rPr>
          <w:b/>
          <w:bCs/>
          <w:sz w:val="24"/>
          <w:szCs w:val="24"/>
        </w:rPr>
        <w:t>3</w:t>
      </w:r>
    </w:p>
    <w:p w:rsidR="00B37769" w:rsidRDefault="0069192D">
      <w:pPr>
        <w:pStyle w:val="Odstavecseseznamem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>rušovací ustanovení</w:t>
      </w: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69192D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outo vyhláškou se zrušuje vyhláška 2/1995, o stanovení koeficientu pro výpočet daně z nemovitostí, ze dne </w:t>
      </w:r>
      <w:proofErr w:type="gramStart"/>
      <w:r>
        <w:rPr>
          <w:sz w:val="24"/>
          <w:szCs w:val="24"/>
        </w:rPr>
        <w:t>17.7.1995</w:t>
      </w:r>
      <w:proofErr w:type="gramEnd"/>
      <w:r>
        <w:rPr>
          <w:sz w:val="24"/>
          <w:szCs w:val="24"/>
        </w:rPr>
        <w:t>.</w:t>
      </w: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69192D">
      <w:pPr>
        <w:pStyle w:val="Odstavecseseznamem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4</w:t>
      </w:r>
    </w:p>
    <w:p w:rsidR="00B37769" w:rsidRDefault="0069192D">
      <w:pPr>
        <w:pStyle w:val="Odstavecseseznamem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:rsidR="00B37769" w:rsidRDefault="00B37769">
      <w:pPr>
        <w:pStyle w:val="Odstavecseseznamem"/>
        <w:spacing w:after="0"/>
        <w:jc w:val="center"/>
        <w:rPr>
          <w:b/>
          <w:bCs/>
          <w:sz w:val="24"/>
          <w:szCs w:val="24"/>
        </w:rPr>
      </w:pPr>
    </w:p>
    <w:p w:rsidR="00B37769" w:rsidRDefault="0069192D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Tato obecně závazná vyhláška nabývá účinnosti </w:t>
      </w:r>
      <w:r>
        <w:rPr>
          <w:sz w:val="24"/>
          <w:szCs w:val="24"/>
        </w:rPr>
        <w:t xml:space="preserve">od </w:t>
      </w:r>
      <w:proofErr w:type="gramStart"/>
      <w:r>
        <w:rPr>
          <w:sz w:val="24"/>
          <w:szCs w:val="24"/>
        </w:rPr>
        <w:t>1.1.2024</w:t>
      </w:r>
      <w:proofErr w:type="gramEnd"/>
      <w:r>
        <w:rPr>
          <w:sz w:val="24"/>
          <w:szCs w:val="24"/>
        </w:rPr>
        <w:t>.</w:t>
      </w: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69192D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František Ledvinka</w:t>
      </w:r>
      <w:r w:rsidR="00BA721D">
        <w:rPr>
          <w:sz w:val="24"/>
          <w:szCs w:val="24"/>
        </w:rPr>
        <w:t xml:space="preserve"> 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BA721D">
        <w:rPr>
          <w:sz w:val="24"/>
          <w:szCs w:val="24"/>
        </w:rPr>
        <w:t xml:space="preserve">Ing. Jan Rosický </w:t>
      </w:r>
      <w:proofErr w:type="gramStart"/>
      <w:r w:rsidR="00BA721D">
        <w:rPr>
          <w:sz w:val="24"/>
          <w:szCs w:val="24"/>
        </w:rPr>
        <w:t>v.r.</w:t>
      </w:r>
      <w:proofErr w:type="gramEnd"/>
    </w:p>
    <w:p w:rsidR="00B37769" w:rsidRDefault="0069192D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      místo</w:t>
      </w:r>
      <w:r>
        <w:rPr>
          <w:sz w:val="24"/>
          <w:szCs w:val="24"/>
        </w:rPr>
        <w:t>starosta</w:t>
      </w:r>
      <w:r>
        <w:rPr>
          <w:sz w:val="24"/>
          <w:szCs w:val="24"/>
        </w:rPr>
        <w:tab/>
      </w: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p w:rsidR="00B37769" w:rsidRDefault="00B37769">
      <w:pPr>
        <w:pStyle w:val="Odstavecseseznamem"/>
        <w:spacing w:after="0"/>
        <w:rPr>
          <w:sz w:val="24"/>
          <w:szCs w:val="24"/>
        </w:rPr>
      </w:pPr>
    </w:p>
    <w:sectPr w:rsidR="00B37769" w:rsidSect="00B377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92D" w:rsidRDefault="0069192D">
      <w:pPr>
        <w:spacing w:line="240" w:lineRule="auto"/>
      </w:pPr>
      <w:r>
        <w:separator/>
      </w:r>
    </w:p>
  </w:endnote>
  <w:endnote w:type="continuationSeparator" w:id="0">
    <w:p w:rsidR="0069192D" w:rsidRDefault="00691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769" w:rsidRDefault="00B37769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 filled="f" stroked="f" strokeweight=".5pt">
          <v:textbox style="mso-fit-shape-to-text:t" inset="0,0,0,0">
            <w:txbxContent>
              <w:p w:rsidR="00B37769" w:rsidRDefault="00B37769">
                <w:pPr>
                  <w:pStyle w:val="Zpat"/>
                </w:pPr>
                <w:r>
                  <w:fldChar w:fldCharType="begin"/>
                </w:r>
                <w:r w:rsidR="0069192D">
                  <w:instrText xml:space="preserve"> PAGE  \* MERGEFORMAT </w:instrText>
                </w:r>
                <w:r>
                  <w:fldChar w:fldCharType="separate"/>
                </w:r>
                <w:r w:rsidR="00BA721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92D" w:rsidRDefault="0069192D">
      <w:pPr>
        <w:spacing w:after="0"/>
      </w:pPr>
      <w:r>
        <w:separator/>
      </w:r>
    </w:p>
  </w:footnote>
  <w:footnote w:type="continuationSeparator" w:id="0">
    <w:p w:rsidR="0069192D" w:rsidRDefault="0069192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6070B3"/>
    <w:multiLevelType w:val="singleLevel"/>
    <w:tmpl w:val="C06070B3"/>
    <w:lvl w:ilvl="0">
      <w:start w:val="1"/>
      <w:numFmt w:val="lowerLetter"/>
      <w:suff w:val="space"/>
      <w:lvlText w:val="%1)"/>
      <w:lvlJc w:val="left"/>
      <w:pPr>
        <w:ind w:left="-48"/>
      </w:pPr>
    </w:lvl>
  </w:abstractNum>
  <w:abstractNum w:abstractNumId="1">
    <w:nsid w:val="26E27743"/>
    <w:multiLevelType w:val="multilevel"/>
    <w:tmpl w:val="26E2774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D45D6"/>
    <w:rsid w:val="000732E7"/>
    <w:rsid w:val="0011313E"/>
    <w:rsid w:val="005374E0"/>
    <w:rsid w:val="0069192D"/>
    <w:rsid w:val="00AC1084"/>
    <w:rsid w:val="00B37769"/>
    <w:rsid w:val="00BA721D"/>
    <w:rsid w:val="00C735DA"/>
    <w:rsid w:val="00E555B6"/>
    <w:rsid w:val="00ED45D6"/>
    <w:rsid w:val="044E1932"/>
    <w:rsid w:val="312D2E9C"/>
    <w:rsid w:val="35DC3BFD"/>
    <w:rsid w:val="3D94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76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uiPriority w:val="99"/>
    <w:semiHidden/>
    <w:unhideWhenUsed/>
    <w:rsid w:val="00B377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hlav">
    <w:name w:val="header"/>
    <w:basedOn w:val="Normln"/>
    <w:uiPriority w:val="99"/>
    <w:semiHidden/>
    <w:unhideWhenUsed/>
    <w:rsid w:val="00B377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qFormat/>
    <w:rsid w:val="00B3776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7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Svazek Obcí Pod Peperkem Sázava</dc:creator>
  <cp:lastModifiedBy>Věra Bratršovská</cp:lastModifiedBy>
  <cp:revision>2</cp:revision>
  <cp:lastPrinted>2023-11-13T14:03:00Z</cp:lastPrinted>
  <dcterms:created xsi:type="dcterms:W3CDTF">2023-12-20T18:06:00Z</dcterms:created>
  <dcterms:modified xsi:type="dcterms:W3CDTF">2023-12-20T18:06:00Z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B1C2E8E467134E6798FEF4383D881F46_13</vt:lpwstr>
  </property>
</Properties>
</file>