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SVS/2026/100597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51D5648" w14:textId="77777777" w:rsidR="00980F97" w:rsidRDefault="00000000" w:rsidP="00980F9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F02A36CC7D4142DF8E0171BFD45FEFC0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 w:rsidR="00980F97">
            <w:rPr>
              <w:rFonts w:ascii="Arial" w:eastAsia="Calibri" w:hAnsi="Arial" w:cs="Arial"/>
            </w:rPr>
            <w:t>Krajská veterinární správa Státní veterinární správy pro Kraj Vysočina</w:t>
          </w:r>
        </w:sdtContent>
      </w:sdt>
      <w:r w:rsidR="00980F97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</w:t>
      </w:r>
      <w:r w:rsidR="00980F97" w:rsidRPr="00535F87">
        <w:rPr>
          <w:rFonts w:ascii="Arial" w:hAnsi="Arial" w:cs="Arial"/>
        </w:rPr>
        <w:t>dále jen „veterinární zákon“), v souladu s ustanovením § 54 odst. 2 písm. a) a § 75a odst. 1 a 2 veterinárního zákona a podle § 11 vyhlášky č. 144/2023 Sb., o veterinárních požadavcích n</w:t>
      </w:r>
      <w:r w:rsidR="00980F97" w:rsidRPr="001A6344">
        <w:rPr>
          <w:rFonts w:ascii="Arial" w:hAnsi="Arial" w:cs="Arial"/>
        </w:rPr>
        <w:t xml:space="preserve">a chov včel a včelstev a o opatřeních pro předcházení </w:t>
      </w:r>
      <w:r w:rsidR="00980F97">
        <w:rPr>
          <w:rFonts w:ascii="Arial" w:hAnsi="Arial" w:cs="Arial"/>
        </w:rPr>
        <w:t>a tlumení některých nákaz včel</w:t>
      </w:r>
      <w:r w:rsidR="00980F97" w:rsidRPr="001A6344">
        <w:rPr>
          <w:rFonts w:ascii="Arial" w:hAnsi="Arial" w:cs="Arial"/>
        </w:rPr>
        <w:t>, nařizuje tato</w:t>
      </w:r>
      <w:r w:rsidR="00980F97">
        <w:rPr>
          <w:rFonts w:ascii="Arial" w:hAnsi="Arial" w:cs="Arial"/>
        </w:rPr>
        <w:t xml:space="preserve"> </w:t>
      </w:r>
    </w:p>
    <w:p w14:paraId="0183EE23" w14:textId="77777777" w:rsidR="00980F97" w:rsidRDefault="00980F97" w:rsidP="00980F9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</w:rPr>
      </w:pPr>
    </w:p>
    <w:p w14:paraId="3D53706F" w14:textId="77777777" w:rsidR="00980F97" w:rsidRDefault="00980F97" w:rsidP="00980F9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450D233F" w14:textId="77777777" w:rsidR="00980F97" w:rsidRPr="00C15F8F" w:rsidRDefault="00980F97" w:rsidP="00980F9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</w:p>
    <w:p w14:paraId="240E13C9" w14:textId="77777777" w:rsidR="00980F97" w:rsidRPr="001C1F0B" w:rsidRDefault="00980F97" w:rsidP="00980F97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k zamezení šíření nebezpečné nákazy – </w:t>
      </w:r>
      <w:r w:rsidRPr="001A6344">
        <w:rPr>
          <w:rFonts w:ascii="Arial" w:hAnsi="Arial" w:cs="Arial"/>
          <w:b/>
          <w:bCs/>
        </w:rPr>
        <w:t xml:space="preserve">hniloby včelího plodu </w:t>
      </w:r>
      <w:r w:rsidRPr="004C475D">
        <w:rPr>
          <w:rFonts w:ascii="Arial" w:hAnsi="Arial" w:cs="Arial"/>
          <w:b/>
          <w:bCs/>
        </w:rPr>
        <w:t>v Kraji Vysočina:</w:t>
      </w:r>
    </w:p>
    <w:p w14:paraId="4B19CF13" w14:textId="77777777" w:rsidR="00980F97" w:rsidRPr="00D121B1" w:rsidRDefault="00980F97" w:rsidP="00980F97">
      <w:pPr>
        <w:jc w:val="both"/>
        <w:rPr>
          <w:rFonts w:ascii="Arial" w:hAnsi="Arial" w:cs="Arial"/>
        </w:rPr>
      </w:pPr>
    </w:p>
    <w:p w14:paraId="3829E990" w14:textId="77777777" w:rsidR="00980F97" w:rsidRPr="00D121B1" w:rsidRDefault="00980F97" w:rsidP="00980F97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1</w:t>
      </w:r>
    </w:p>
    <w:p w14:paraId="3AF2151A" w14:textId="77777777" w:rsidR="00980F97" w:rsidRPr="002E28AE" w:rsidRDefault="00980F97" w:rsidP="00980F97">
      <w:pPr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Výskyt nákazy a v</w:t>
      </w:r>
      <w:r w:rsidRPr="002E28AE">
        <w:rPr>
          <w:rFonts w:cs="Arial"/>
          <w:b/>
          <w:sz w:val="26"/>
          <w:szCs w:val="26"/>
        </w:rPr>
        <w:t>ymezení ochranného pásma</w:t>
      </w:r>
    </w:p>
    <w:p w14:paraId="74204D79" w14:textId="77777777" w:rsidR="00980F97" w:rsidRPr="00535F87" w:rsidRDefault="00980F97" w:rsidP="00980F97">
      <w:pPr>
        <w:ind w:firstLine="708"/>
        <w:jc w:val="both"/>
        <w:rPr>
          <w:rFonts w:ascii="Arial" w:hAnsi="Arial" w:cs="Arial"/>
        </w:rPr>
      </w:pPr>
      <w:r w:rsidRPr="00535F87">
        <w:rPr>
          <w:rFonts w:ascii="Arial" w:hAnsi="Arial" w:cs="Arial"/>
        </w:rPr>
        <w:t xml:space="preserve">(1) Mimořádná veterinární opatření jsou vydávaná za účelem zamezení šíření nebezpečné nákazy </w:t>
      </w:r>
      <w:r>
        <w:rPr>
          <w:rFonts w:ascii="Arial" w:eastAsia="Calibri" w:hAnsi="Arial" w:cs="Arial"/>
        </w:rPr>
        <w:t>hniloby</w:t>
      </w:r>
      <w:r w:rsidRPr="00535F87">
        <w:rPr>
          <w:rFonts w:ascii="Arial" w:eastAsia="Calibri" w:hAnsi="Arial" w:cs="Arial"/>
        </w:rPr>
        <w:t xml:space="preserve"> včelího plodu, která byla potvrzena v katastrálním území </w:t>
      </w:r>
      <w:r w:rsidRPr="00F77374">
        <w:rPr>
          <w:rFonts w:ascii="Arial" w:hAnsi="Arial" w:cs="Arial"/>
        </w:rPr>
        <w:t>Pavlov</w:t>
      </w:r>
      <w:r w:rsidRPr="00535F87">
        <w:rPr>
          <w:rFonts w:ascii="Arial" w:eastAsia="Calibri" w:hAnsi="Arial" w:cs="Arial"/>
        </w:rPr>
        <w:t xml:space="preserve"> v </w:t>
      </w:r>
      <w:r w:rsidRPr="00535F87">
        <w:rPr>
          <w:rFonts w:ascii="Arial" w:hAnsi="Arial" w:cs="Arial"/>
          <w:bCs/>
        </w:rPr>
        <w:t>Kraji Vysočina</w:t>
      </w:r>
      <w:r w:rsidRPr="00535F87">
        <w:rPr>
          <w:rFonts w:ascii="Arial" w:hAnsi="Arial" w:cs="Arial"/>
        </w:rPr>
        <w:t>.</w:t>
      </w:r>
    </w:p>
    <w:p w14:paraId="164922A8" w14:textId="77777777" w:rsidR="00980F97" w:rsidRDefault="00980F97" w:rsidP="00980F97">
      <w:pPr>
        <w:ind w:firstLine="708"/>
        <w:jc w:val="both"/>
        <w:rPr>
          <w:rFonts w:ascii="Arial" w:hAnsi="Arial" w:cs="Arial"/>
        </w:rPr>
      </w:pPr>
      <w:r w:rsidRPr="00535F87">
        <w:rPr>
          <w:rFonts w:ascii="Arial" w:hAnsi="Arial" w:cs="Arial"/>
        </w:rPr>
        <w:t xml:space="preserve">(2) Ochranným pásmem vymezeným v okruhu minimálně 3 km kolem ohniska nákazy, s přihlédnutím </w:t>
      </w:r>
      <w:r w:rsidRPr="00D121B1">
        <w:rPr>
          <w:rFonts w:ascii="Arial" w:hAnsi="Arial" w:cs="Arial"/>
        </w:rPr>
        <w:t xml:space="preserve">k epizootologickým, zeměpisným, </w:t>
      </w:r>
      <w:r w:rsidRPr="00C0516F">
        <w:rPr>
          <w:rFonts w:ascii="Arial" w:hAnsi="Arial" w:cs="Arial"/>
        </w:rPr>
        <w:t>biologickým a ekologickým podmínkám, a s ohledem na aktuálně platná a účinná mimořádná veterinární opatření vydaná k zamezení šíření nebezpečné nákazy hniloby včelího plodu v Kraji Vysočina, se stanovují tato katastrální území v územním obvodu Kraje Vysočina:</w:t>
      </w:r>
      <w:r>
        <w:rPr>
          <w:rFonts w:ascii="Arial" w:hAnsi="Arial" w:cs="Arial"/>
        </w:rPr>
        <w:t xml:space="preserve"> </w:t>
      </w:r>
    </w:p>
    <w:p w14:paraId="0EC338B6" w14:textId="77777777" w:rsidR="00980F97" w:rsidRPr="003F209B" w:rsidRDefault="00980F97" w:rsidP="00980F97">
      <w:pPr>
        <w:jc w:val="both"/>
        <w:rPr>
          <w:rFonts w:ascii="Arial" w:eastAsia="Times New Roman" w:hAnsi="Arial" w:cs="Arial"/>
          <w:color w:val="000000"/>
          <w:lang w:eastAsia="cs-CZ"/>
        </w:rPr>
      </w:pPr>
      <w:r w:rsidRPr="003F209B">
        <w:rPr>
          <w:rFonts w:ascii="Arial" w:eastAsia="Times New Roman" w:hAnsi="Arial" w:cs="Arial"/>
          <w:b/>
          <w:color w:val="000000"/>
          <w:lang w:eastAsia="cs-CZ"/>
        </w:rPr>
        <w:t>Dolní Březinka</w:t>
      </w:r>
      <w:r w:rsidRPr="003F209B">
        <w:rPr>
          <w:rFonts w:ascii="Arial" w:hAnsi="Arial" w:cs="Arial"/>
          <w:b/>
          <w:bCs/>
        </w:rPr>
        <w:t xml:space="preserve"> </w:t>
      </w:r>
      <w:r w:rsidRPr="003F209B">
        <w:rPr>
          <w:rFonts w:ascii="Arial" w:hAnsi="Arial" w:cs="Arial"/>
          <w:bCs/>
        </w:rPr>
        <w:t>(</w:t>
      </w:r>
      <w:r w:rsidRPr="003F209B">
        <w:rPr>
          <w:rFonts w:ascii="Arial" w:eastAsia="Times New Roman" w:hAnsi="Arial" w:cs="Arial"/>
          <w:color w:val="000000"/>
          <w:lang w:eastAsia="cs-CZ"/>
        </w:rPr>
        <w:t>628778</w:t>
      </w:r>
      <w:r w:rsidRPr="003F209B">
        <w:rPr>
          <w:rFonts w:ascii="Arial" w:hAnsi="Arial" w:cs="Arial"/>
          <w:bCs/>
        </w:rPr>
        <w:t>),</w:t>
      </w:r>
      <w:r w:rsidRPr="003F209B">
        <w:rPr>
          <w:rFonts w:ascii="Arial" w:hAnsi="Arial" w:cs="Arial"/>
          <w:b/>
          <w:bCs/>
        </w:rPr>
        <w:t xml:space="preserve"> </w:t>
      </w:r>
      <w:r w:rsidRPr="003F209B">
        <w:rPr>
          <w:rFonts w:ascii="Arial" w:eastAsia="Times New Roman" w:hAnsi="Arial" w:cs="Arial"/>
          <w:b/>
          <w:color w:val="000000"/>
          <w:lang w:eastAsia="cs-CZ"/>
        </w:rPr>
        <w:t>Vlkanov</w:t>
      </w:r>
      <w:r w:rsidRPr="003F209B">
        <w:rPr>
          <w:rFonts w:ascii="Arial" w:hAnsi="Arial" w:cs="Arial"/>
          <w:b/>
          <w:bCs/>
        </w:rPr>
        <w:t xml:space="preserve"> </w:t>
      </w:r>
      <w:r w:rsidRPr="003F209B">
        <w:rPr>
          <w:rFonts w:ascii="Arial" w:hAnsi="Arial" w:cs="Arial"/>
          <w:bCs/>
        </w:rPr>
        <w:t>(</w:t>
      </w:r>
      <w:r w:rsidRPr="003F209B">
        <w:rPr>
          <w:rFonts w:ascii="Arial" w:eastAsia="Times New Roman" w:hAnsi="Arial" w:cs="Arial"/>
          <w:color w:val="000000"/>
          <w:lang w:eastAsia="cs-CZ"/>
        </w:rPr>
        <w:t>783994</w:t>
      </w:r>
      <w:r w:rsidRPr="003F209B">
        <w:rPr>
          <w:rFonts w:ascii="Arial" w:hAnsi="Arial" w:cs="Arial"/>
          <w:bCs/>
        </w:rPr>
        <w:t>),</w:t>
      </w:r>
      <w:r w:rsidRPr="003F209B">
        <w:rPr>
          <w:rFonts w:ascii="Arial" w:hAnsi="Arial" w:cs="Arial"/>
          <w:b/>
          <w:bCs/>
        </w:rPr>
        <w:t xml:space="preserve"> </w:t>
      </w:r>
      <w:r w:rsidRPr="003F209B">
        <w:rPr>
          <w:rFonts w:ascii="Arial" w:eastAsia="Times New Roman" w:hAnsi="Arial" w:cs="Arial"/>
          <w:b/>
          <w:color w:val="000000"/>
          <w:lang w:eastAsia="cs-CZ"/>
        </w:rPr>
        <w:t>Horní Dlužiny</w:t>
      </w:r>
      <w:r w:rsidRPr="003F209B">
        <w:rPr>
          <w:rFonts w:ascii="Arial" w:hAnsi="Arial" w:cs="Arial"/>
          <w:b/>
          <w:bCs/>
        </w:rPr>
        <w:t xml:space="preserve"> </w:t>
      </w:r>
      <w:r w:rsidRPr="003F209B">
        <w:rPr>
          <w:rFonts w:ascii="Arial" w:hAnsi="Arial" w:cs="Arial"/>
          <w:bCs/>
        </w:rPr>
        <w:t>(</w:t>
      </w:r>
      <w:r w:rsidRPr="003F209B">
        <w:rPr>
          <w:rFonts w:ascii="Arial" w:eastAsia="Times New Roman" w:hAnsi="Arial" w:cs="Arial"/>
          <w:color w:val="000000"/>
          <w:lang w:eastAsia="cs-CZ"/>
        </w:rPr>
        <w:t>626724</w:t>
      </w:r>
      <w:r w:rsidRPr="003F209B">
        <w:rPr>
          <w:rFonts w:ascii="Arial" w:hAnsi="Arial" w:cs="Arial"/>
          <w:bCs/>
        </w:rPr>
        <w:t>),</w:t>
      </w:r>
      <w:r w:rsidRPr="003F209B">
        <w:rPr>
          <w:rFonts w:ascii="Arial" w:hAnsi="Arial" w:cs="Arial"/>
          <w:b/>
          <w:bCs/>
        </w:rPr>
        <w:t xml:space="preserve"> </w:t>
      </w:r>
      <w:r w:rsidRPr="003F209B">
        <w:rPr>
          <w:rFonts w:ascii="Arial" w:eastAsia="Times New Roman" w:hAnsi="Arial" w:cs="Arial"/>
          <w:b/>
          <w:color w:val="000000"/>
          <w:lang w:eastAsia="cs-CZ"/>
        </w:rPr>
        <w:t>Ovesná Lhota</w:t>
      </w:r>
      <w:r w:rsidRPr="003F209B">
        <w:rPr>
          <w:rFonts w:ascii="Arial" w:hAnsi="Arial" w:cs="Arial"/>
          <w:b/>
          <w:bCs/>
        </w:rPr>
        <w:t xml:space="preserve"> </w:t>
      </w:r>
      <w:r w:rsidRPr="003F209B">
        <w:rPr>
          <w:rFonts w:ascii="Arial" w:hAnsi="Arial" w:cs="Arial"/>
          <w:bCs/>
        </w:rPr>
        <w:t>(</w:t>
      </w:r>
      <w:r w:rsidRPr="003F209B">
        <w:rPr>
          <w:rFonts w:ascii="Arial" w:eastAsia="Times New Roman" w:hAnsi="Arial" w:cs="Arial"/>
          <w:color w:val="000000"/>
          <w:lang w:eastAsia="cs-CZ"/>
        </w:rPr>
        <w:t>717126</w:t>
      </w:r>
      <w:r w:rsidRPr="003F209B">
        <w:rPr>
          <w:rFonts w:ascii="Arial" w:hAnsi="Arial" w:cs="Arial"/>
          <w:bCs/>
        </w:rPr>
        <w:t>),</w:t>
      </w:r>
      <w:r w:rsidRPr="003F209B">
        <w:rPr>
          <w:rFonts w:ascii="Arial" w:hAnsi="Arial" w:cs="Arial"/>
          <w:b/>
          <w:bCs/>
        </w:rPr>
        <w:t xml:space="preserve"> </w:t>
      </w:r>
      <w:r w:rsidRPr="003F209B">
        <w:rPr>
          <w:rFonts w:ascii="Arial" w:eastAsia="Times New Roman" w:hAnsi="Arial" w:cs="Arial"/>
          <w:b/>
          <w:color w:val="000000"/>
          <w:lang w:eastAsia="cs-CZ"/>
        </w:rPr>
        <w:t>Mrzkovice</w:t>
      </w:r>
      <w:r w:rsidRPr="003F209B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3F209B">
        <w:rPr>
          <w:rFonts w:ascii="Arial" w:hAnsi="Arial" w:cs="Arial"/>
          <w:bCs/>
        </w:rPr>
        <w:t>(700193),</w:t>
      </w:r>
      <w:r w:rsidRPr="003F209B">
        <w:rPr>
          <w:rFonts w:ascii="Arial" w:hAnsi="Arial" w:cs="Arial"/>
          <w:b/>
          <w:bCs/>
        </w:rPr>
        <w:t xml:space="preserve"> </w:t>
      </w:r>
      <w:r w:rsidRPr="003F209B">
        <w:rPr>
          <w:rFonts w:ascii="Arial" w:eastAsia="Times New Roman" w:hAnsi="Arial" w:cs="Arial"/>
          <w:b/>
          <w:color w:val="000000"/>
          <w:lang w:eastAsia="cs-CZ"/>
        </w:rPr>
        <w:t>Světlá nad Sázavou</w:t>
      </w:r>
      <w:r w:rsidRPr="003F209B">
        <w:rPr>
          <w:rFonts w:ascii="Arial" w:hAnsi="Arial" w:cs="Arial"/>
          <w:b/>
        </w:rPr>
        <w:t xml:space="preserve"> </w:t>
      </w:r>
      <w:r w:rsidRPr="003F209B">
        <w:rPr>
          <w:rFonts w:ascii="Arial" w:hAnsi="Arial" w:cs="Arial"/>
        </w:rPr>
        <w:t>(760510),</w:t>
      </w:r>
      <w:r w:rsidRPr="003F209B">
        <w:rPr>
          <w:rFonts w:ascii="Arial" w:hAnsi="Arial" w:cs="Arial"/>
          <w:b/>
        </w:rPr>
        <w:t xml:space="preserve"> </w:t>
      </w:r>
      <w:r w:rsidRPr="003F209B">
        <w:rPr>
          <w:rFonts w:ascii="Arial" w:eastAsia="Times New Roman" w:hAnsi="Arial" w:cs="Arial"/>
          <w:b/>
          <w:color w:val="000000"/>
          <w:lang w:eastAsia="cs-CZ"/>
        </w:rPr>
        <w:t>Sechov</w:t>
      </w:r>
      <w:r w:rsidRPr="003F209B">
        <w:rPr>
          <w:rFonts w:ascii="Arial" w:hAnsi="Arial" w:cs="Arial"/>
          <w:b/>
        </w:rPr>
        <w:t xml:space="preserve"> </w:t>
      </w:r>
      <w:r w:rsidRPr="003F209B">
        <w:rPr>
          <w:rFonts w:ascii="Arial" w:hAnsi="Arial" w:cs="Arial"/>
        </w:rPr>
        <w:t>(672092),</w:t>
      </w:r>
      <w:r w:rsidRPr="003F209B">
        <w:rPr>
          <w:rFonts w:ascii="Arial" w:hAnsi="Arial" w:cs="Arial"/>
          <w:b/>
        </w:rPr>
        <w:t xml:space="preserve"> </w:t>
      </w:r>
      <w:r w:rsidRPr="003F209B">
        <w:rPr>
          <w:rFonts w:ascii="Arial" w:eastAsia="Times New Roman" w:hAnsi="Arial" w:cs="Arial"/>
          <w:b/>
          <w:color w:val="000000"/>
          <w:lang w:eastAsia="cs-CZ"/>
        </w:rPr>
        <w:t>Dolní Bohušice</w:t>
      </w:r>
      <w:r w:rsidRPr="003F209B">
        <w:rPr>
          <w:rFonts w:ascii="Arial" w:hAnsi="Arial" w:cs="Arial"/>
          <w:b/>
        </w:rPr>
        <w:t xml:space="preserve"> </w:t>
      </w:r>
      <w:r w:rsidRPr="003F209B">
        <w:rPr>
          <w:rFonts w:ascii="Arial" w:hAnsi="Arial" w:cs="Arial"/>
        </w:rPr>
        <w:t>(760471),</w:t>
      </w:r>
      <w:r w:rsidRPr="003F209B">
        <w:rPr>
          <w:rFonts w:ascii="Arial" w:hAnsi="Arial" w:cs="Arial"/>
          <w:b/>
        </w:rPr>
        <w:t xml:space="preserve"> </w:t>
      </w:r>
      <w:r w:rsidRPr="003F209B">
        <w:rPr>
          <w:rFonts w:ascii="Arial" w:eastAsia="Times New Roman" w:hAnsi="Arial" w:cs="Arial"/>
          <w:b/>
          <w:color w:val="000000"/>
          <w:lang w:eastAsia="cs-CZ"/>
        </w:rPr>
        <w:t>Prosíčka</w:t>
      </w:r>
      <w:r w:rsidRPr="003F209B">
        <w:rPr>
          <w:rFonts w:ascii="Arial" w:hAnsi="Arial" w:cs="Arial"/>
          <w:b/>
        </w:rPr>
        <w:t xml:space="preserve"> </w:t>
      </w:r>
      <w:r w:rsidRPr="003F209B">
        <w:rPr>
          <w:rFonts w:ascii="Arial" w:hAnsi="Arial" w:cs="Arial"/>
        </w:rPr>
        <w:t>(733431).</w:t>
      </w:r>
    </w:p>
    <w:p w14:paraId="72636200" w14:textId="77777777" w:rsidR="00980F97" w:rsidRPr="00D121B1" w:rsidRDefault="00980F97" w:rsidP="00980F97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 </w:t>
      </w:r>
    </w:p>
    <w:p w14:paraId="69B38991" w14:textId="77777777" w:rsidR="00980F97" w:rsidRPr="00D121B1" w:rsidRDefault="00980F97" w:rsidP="00980F97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2</w:t>
      </w:r>
    </w:p>
    <w:p w14:paraId="27B16B59" w14:textId="77777777" w:rsidR="00980F97" w:rsidRPr="00D121B1" w:rsidRDefault="00980F97" w:rsidP="00980F97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Opatření v ochranném pásmu</w:t>
      </w:r>
    </w:p>
    <w:p w14:paraId="5C700FD8" w14:textId="77777777" w:rsidR="00980F97" w:rsidRPr="00D121B1" w:rsidRDefault="00980F97" w:rsidP="00980F97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(1) Zakazuje se přemisťování včel a včelstev ze stanoveného ochranného pásma.</w:t>
      </w:r>
    </w:p>
    <w:p w14:paraId="521CBB7E" w14:textId="77777777" w:rsidR="00980F97" w:rsidRPr="00D121B1" w:rsidRDefault="00980F97" w:rsidP="00980F97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(2) Přemístění včel a včelstev uvnitř ochranného pásma je možné jen se souhlasem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Krajské veterinární správy Státní veterinární správy pro </w:t>
      </w:r>
      <w:r>
        <w:rPr>
          <w:rFonts w:ascii="Arial" w:hAnsi="Arial" w:cs="Arial"/>
        </w:rPr>
        <w:t xml:space="preserve">Kraj Vysočina </w:t>
      </w:r>
      <w:r w:rsidRPr="00D121B1">
        <w:rPr>
          <w:rFonts w:ascii="Arial" w:hAnsi="Arial" w:cs="Arial"/>
        </w:rPr>
        <w:t>vydaným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základě žádosti chovatele. Krajská veterinární správa Státní veterinární správy pro </w:t>
      </w:r>
      <w:r>
        <w:rPr>
          <w:rFonts w:ascii="Arial" w:hAnsi="Arial" w:cs="Arial"/>
        </w:rPr>
        <w:t>Kraj Vysočina</w:t>
      </w:r>
      <w:r w:rsidRPr="00D121B1">
        <w:rPr>
          <w:rFonts w:ascii="Arial" w:hAnsi="Arial" w:cs="Arial"/>
        </w:rPr>
        <w:t xml:space="preserve"> udělí souhlas k přemístění včel a včelstev uvnitř ochranného pásma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základě žádosti chovatele doložené negativním výsledkem laboratorního vyšetření vzorku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původce hniloby včelího plodu ne starším </w:t>
      </w:r>
      <w:r w:rsidRPr="000A37DC">
        <w:rPr>
          <w:rFonts w:ascii="Arial" w:hAnsi="Arial" w:cs="Arial"/>
          <w:b/>
          <w:bCs/>
        </w:rPr>
        <w:t>6 měsíců</w:t>
      </w:r>
      <w:r w:rsidRPr="00D121B1">
        <w:rPr>
          <w:rFonts w:ascii="Arial" w:hAnsi="Arial" w:cs="Arial"/>
        </w:rPr>
        <w:t xml:space="preserve">. </w:t>
      </w:r>
      <w:r w:rsidRPr="004452E1">
        <w:rPr>
          <w:rFonts w:ascii="Arial" w:hAnsi="Arial" w:cs="Arial"/>
        </w:rPr>
        <w:t>Toto laboratorní vyšetření musí být provedeno ve Státním veterinárním ústavu Praha, Jihlava nebo Olomouc (dále jen „</w:t>
      </w:r>
      <w:r w:rsidRPr="008C27BC">
        <w:rPr>
          <w:rFonts w:ascii="Arial" w:hAnsi="Arial" w:cs="Arial"/>
          <w:b/>
          <w:bCs/>
        </w:rPr>
        <w:t>státní veterinární ústav</w:t>
      </w:r>
      <w:r w:rsidRPr="004452E1">
        <w:rPr>
          <w:rFonts w:ascii="Arial" w:hAnsi="Arial" w:cs="Arial"/>
        </w:rPr>
        <w:t>“)</w:t>
      </w:r>
      <w:r>
        <w:rPr>
          <w:rFonts w:ascii="Arial" w:hAnsi="Arial" w:cs="Arial"/>
        </w:rPr>
        <w:t>.</w:t>
      </w:r>
    </w:p>
    <w:p w14:paraId="3351AB70" w14:textId="77777777" w:rsidR="00980F97" w:rsidRPr="001A6344" w:rsidRDefault="00980F97" w:rsidP="00980F97">
      <w:pPr>
        <w:ind w:firstLine="708"/>
        <w:jc w:val="both"/>
        <w:rPr>
          <w:rFonts w:ascii="Arial" w:hAnsi="Arial" w:cs="Arial"/>
          <w:b/>
          <w:bCs/>
        </w:rPr>
      </w:pPr>
      <w:r w:rsidRPr="00D121B1">
        <w:rPr>
          <w:rFonts w:ascii="Arial" w:hAnsi="Arial" w:cs="Arial"/>
        </w:rPr>
        <w:lastRenderedPageBreak/>
        <w:t>(</w:t>
      </w:r>
      <w:r>
        <w:rPr>
          <w:rFonts w:ascii="Arial" w:hAnsi="Arial" w:cs="Arial"/>
        </w:rPr>
        <w:t>3</w:t>
      </w:r>
      <w:r w:rsidRPr="00D121B1">
        <w:rPr>
          <w:rFonts w:ascii="Arial" w:hAnsi="Arial" w:cs="Arial"/>
        </w:rPr>
        <w:t xml:space="preserve">) Všem chovatelům včel v ochranném pásmu se nařizuje provést </w:t>
      </w:r>
      <w:r w:rsidRPr="00CA5B26">
        <w:rPr>
          <w:rFonts w:ascii="Arial" w:hAnsi="Arial" w:cs="Arial"/>
          <w:b/>
          <w:bCs/>
        </w:rPr>
        <w:t xml:space="preserve">odběr vzorků včelí měli </w:t>
      </w:r>
      <w:r w:rsidRPr="00D121B1">
        <w:rPr>
          <w:rFonts w:ascii="Arial" w:hAnsi="Arial" w:cs="Arial"/>
        </w:rPr>
        <w:t>ze všech včelstev na všech stanovištích umístěných ve stanoveném ochranném pásmu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a zajistit jejich laboratorní vyšetření ve státním veterinárním ústavu, pokud toto vyšetření</w:t>
      </w:r>
      <w:r>
        <w:rPr>
          <w:rFonts w:ascii="Arial" w:hAnsi="Arial" w:cs="Arial"/>
        </w:rPr>
        <w:t xml:space="preserve"> </w:t>
      </w:r>
      <w:r w:rsidRPr="00C01D9A">
        <w:rPr>
          <w:rFonts w:ascii="Arial" w:hAnsi="Arial" w:cs="Arial"/>
          <w:b/>
          <w:bCs/>
        </w:rPr>
        <w:t xml:space="preserve">nebylo provedeno ve státním veterinárním </w:t>
      </w:r>
      <w:r>
        <w:rPr>
          <w:rFonts w:ascii="Arial" w:hAnsi="Arial" w:cs="Arial"/>
          <w:b/>
          <w:bCs/>
        </w:rPr>
        <w:t>ú</w:t>
      </w:r>
      <w:r w:rsidRPr="00C01D9A">
        <w:rPr>
          <w:rFonts w:ascii="Arial" w:hAnsi="Arial" w:cs="Arial"/>
          <w:b/>
          <w:bCs/>
        </w:rPr>
        <w:t>stavu v posledních 6 měsících</w:t>
      </w:r>
      <w:r w:rsidRPr="00D121B1">
        <w:rPr>
          <w:rFonts w:ascii="Arial" w:hAnsi="Arial" w:cs="Arial"/>
        </w:rPr>
        <w:t xml:space="preserve"> před účinností tohoto nařízení. Každý směsný vzorek je tvořen z nejvýše 10 úlů na stanovišti včelstev. Vzorky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musí být předány k laboratornímu vyšetření nejpozději </w:t>
      </w:r>
      <w:r>
        <w:rPr>
          <w:rFonts w:ascii="Arial" w:hAnsi="Arial" w:cs="Arial"/>
          <w:b/>
          <w:bCs/>
        </w:rPr>
        <w:t>v termínu do 17. 7. 2026.</w:t>
      </w:r>
    </w:p>
    <w:p w14:paraId="5F2AB948" w14:textId="77777777" w:rsidR="00980F97" w:rsidRDefault="00980F97" w:rsidP="00980F97">
      <w:pPr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D121B1">
        <w:rPr>
          <w:rFonts w:ascii="Arial" w:hAnsi="Arial" w:cs="Arial"/>
        </w:rPr>
        <w:t>Provedení odběru vzorků: chovatelé vloží do všech včelstev chovaných v ochranném pásmu jednorázové podložky určené k odběru vzorků včelí měli ve vegetačním období.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Nejdříve po 14 dnech od umístění jednorázových podložek do včelstev je chovatelé vyjmou,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zabalí, označí adresou, registračním číslem včelaře, registračním číslem stanoviště a čísly úlů, ze kterých směsný vzorek pochází. </w:t>
      </w:r>
      <w:r w:rsidRPr="00BD7328">
        <w:rPr>
          <w:rFonts w:ascii="Arial" w:hAnsi="Arial" w:cs="Arial"/>
          <w:b/>
          <w:bCs/>
        </w:rPr>
        <w:t>Jeden směsný vzorek může obsahovat včelí měl nejvýše od 10 včelstev.</w:t>
      </w:r>
      <w:r w:rsidRPr="00D121B1">
        <w:rPr>
          <w:rFonts w:ascii="Arial" w:hAnsi="Arial" w:cs="Arial"/>
        </w:rPr>
        <w:t xml:space="preserve"> Směsné vzorky včelí měli předají k laboratornímu vyšetření do státního veterinárního ústavu. Požadavek na vyšetření hniloby včelího plodu musí být vyznačen na objednávce laboratorního vyšetření (</w:t>
      </w:r>
      <w:r w:rsidRPr="008F20E7">
        <w:rPr>
          <w:rFonts w:ascii="Arial" w:hAnsi="Arial" w:cs="Arial"/>
          <w:b/>
          <w:bCs/>
        </w:rPr>
        <w:t>kód vyšetření EpM 211</w:t>
      </w:r>
      <w:r w:rsidRPr="00D121B1">
        <w:rPr>
          <w:rFonts w:ascii="Arial" w:hAnsi="Arial" w:cs="Arial"/>
        </w:rPr>
        <w:t>) i na obalu vzorků.</w:t>
      </w:r>
      <w:r w:rsidRPr="00AB1E28">
        <w:rPr>
          <w:rFonts w:ascii="Arial" w:eastAsia="Times New Roman" w:hAnsi="Arial" w:cs="Times New Roman"/>
          <w:lang w:eastAsia="cs-CZ"/>
        </w:rPr>
        <w:t xml:space="preserve"> </w:t>
      </w:r>
    </w:p>
    <w:p w14:paraId="0512F7F2" w14:textId="77777777" w:rsidR="00980F97" w:rsidRDefault="00980F97" w:rsidP="00980F97">
      <w:pPr>
        <w:ind w:firstLine="708"/>
        <w:jc w:val="both"/>
        <w:rPr>
          <w:rFonts w:ascii="Arial" w:eastAsia="Times New Roman" w:hAnsi="Arial" w:cs="Times New Roman"/>
          <w:lang w:eastAsia="cs-CZ"/>
        </w:rPr>
      </w:pPr>
    </w:p>
    <w:p w14:paraId="43BEAAE6" w14:textId="77777777" w:rsidR="00980F97" w:rsidRPr="002E7431" w:rsidRDefault="00980F97" w:rsidP="00980F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4AF04F0" w14:textId="77777777" w:rsidR="00980F97" w:rsidRPr="00C15F8F" w:rsidRDefault="00980F97" w:rsidP="00980F97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495D1453" w14:textId="77777777" w:rsidR="00980F97" w:rsidRPr="00C15F8F" w:rsidRDefault="00980F97" w:rsidP="00980F9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12E18348" w14:textId="77777777" w:rsidR="00980F97" w:rsidRPr="00C15F8F" w:rsidRDefault="00980F97" w:rsidP="00980F97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70760D70" w14:textId="77777777" w:rsidR="00980F97" w:rsidRDefault="00980F97" w:rsidP="00980F97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7BEE68EF" w14:textId="77777777" w:rsidR="00980F97" w:rsidRDefault="00980F97" w:rsidP="00980F97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</w:p>
    <w:p w14:paraId="043CA4B8" w14:textId="77777777" w:rsidR="00980F97" w:rsidRPr="00C15F8F" w:rsidRDefault="00980F97" w:rsidP="00980F97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</w:p>
    <w:p w14:paraId="2587DF1E" w14:textId="77777777" w:rsidR="00980F97" w:rsidRPr="002E7431" w:rsidRDefault="00980F97" w:rsidP="00980F97">
      <w:pPr>
        <w:spacing w:afterLines="160" w:after="384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6887452F" w14:textId="77777777" w:rsidR="00980F97" w:rsidRPr="00C15F8F" w:rsidRDefault="00980F97" w:rsidP="00980F97">
      <w:pPr>
        <w:keepNext/>
        <w:spacing w:afterLines="160" w:after="384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875FA43" w14:textId="77777777" w:rsidR="00980F97" w:rsidRDefault="00980F97" w:rsidP="00980F9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510E9C2E" w14:textId="77777777" w:rsidR="00980F97" w:rsidRDefault="00980F97" w:rsidP="00980F9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388A6142" w14:textId="77777777" w:rsidR="00980F97" w:rsidRPr="00C15F8F" w:rsidRDefault="00980F97" w:rsidP="00980F9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2FC204EF" w14:textId="77777777" w:rsidR="00980F97" w:rsidRPr="002E7431" w:rsidRDefault="00980F97" w:rsidP="00980F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41440424" w14:textId="77777777" w:rsidR="00980F97" w:rsidRPr="00C15F8F" w:rsidRDefault="00980F97" w:rsidP="00980F97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695F9F35" w14:textId="77777777" w:rsidR="00980F97" w:rsidRPr="004E324F" w:rsidRDefault="00980F97" w:rsidP="00980F97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146BB50F" w14:textId="77777777" w:rsidR="00980F97" w:rsidRPr="004E324F" w:rsidRDefault="00980F97" w:rsidP="00980F97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FB6B1CB9003A4672AF336FE78B9207E6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hAnsi="Arial" w:cs="Arial"/>
              <w:color w:val="000000" w:themeColor="text1"/>
            </w:rPr>
            <w:t xml:space="preserve">z důvodu naléhavého obecného zájmu, platnosti jeho vyhlášením formou zveřejnění ve Sbírce </w:t>
          </w:r>
          <w:r>
            <w:rPr>
              <w:rFonts w:ascii="Arial" w:hAnsi="Arial" w:cs="Arial"/>
              <w:color w:val="000000" w:themeColor="text1"/>
            </w:rPr>
            <w:lastRenderedPageBreak/>
            <w:t>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030DBD25" w14:textId="77777777" w:rsidR="00980F97" w:rsidRPr="00C15F8F" w:rsidRDefault="00980F97" w:rsidP="00980F97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0048B70B" w:rsidR="00616664" w:rsidRPr="00C15F8F" w:rsidRDefault="00980F97" w:rsidP="00980F97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  <w:r w:rsidR="00616664" w:rsidRPr="00C15F8F">
        <w:rPr>
          <w:rFonts w:ascii="Arial" w:eastAsia="Calibri" w:hAnsi="Arial" w:cs="Arial"/>
        </w:rPr>
        <w:t xml:space="preserve"> </w:t>
      </w:r>
    </w:p>
    <w:p w14:paraId="5A30C157" w14:textId="03BADE03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980F97">
            <w:rPr>
              <w:rFonts w:ascii="Arial" w:eastAsia="Calibri" w:hAnsi="Arial" w:cs="Arial"/>
            </w:rPr>
            <w:t>Jihlavě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6-16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80F97">
            <w:rPr>
              <w:rFonts w:ascii="Arial" w:hAnsi="Arial" w:cs="Arial"/>
            </w:rPr>
            <w:t>16.06.2026</w:t>
          </w:r>
        </w:sdtContent>
      </w:sdt>
      <w:bookmarkEnd w:id="1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000000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Božek Vejmelka</w:t>
          </w:r>
        </w:sdtContent>
      </w:sdt>
    </w:p>
    <w:p w14:paraId="5C5FFA72" w14:textId="77777777" w:rsidR="00850D2F" w:rsidRPr="00850D2F" w:rsidRDefault="00000000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Kraj Vysočina</w:t>
          </w:r>
        </w:sdtContent>
      </w:sdt>
    </w:p>
    <w:p w14:paraId="6917DD20" w14:textId="77777777" w:rsidR="00850D2F" w:rsidRPr="00850D2F" w:rsidRDefault="00850D2F" w:rsidP="00980F97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Content>
        <w:p w14:paraId="5FB0C16E" w14:textId="77777777" w:rsidR="00616664" w:rsidRPr="00C01D55" w:rsidRDefault="0000000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Content>
        <w:p w14:paraId="1AF98E00" w14:textId="77777777" w:rsidR="00616664" w:rsidRPr="00C15F8F" w:rsidRDefault="0000000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9CF2" w14:textId="77777777" w:rsidR="009B6080" w:rsidRDefault="009B6080" w:rsidP="00461078">
      <w:pPr>
        <w:spacing w:after="0" w:line="240" w:lineRule="auto"/>
      </w:pPr>
      <w:r>
        <w:separator/>
      </w:r>
    </w:p>
  </w:endnote>
  <w:endnote w:type="continuationSeparator" w:id="0">
    <w:p w14:paraId="5558FBDB" w14:textId="77777777" w:rsidR="009B6080" w:rsidRDefault="009B6080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20F20" w14:textId="77777777" w:rsidR="009B6080" w:rsidRDefault="009B6080" w:rsidP="00461078">
      <w:pPr>
        <w:spacing w:after="0" w:line="240" w:lineRule="auto"/>
      </w:pPr>
      <w:r>
        <w:separator/>
      </w:r>
    </w:p>
  </w:footnote>
  <w:footnote w:type="continuationSeparator" w:id="0">
    <w:p w14:paraId="352E2B1E" w14:textId="77777777" w:rsidR="009B6080" w:rsidRDefault="009B6080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312826"/>
    <w:rsid w:val="00362F56"/>
    <w:rsid w:val="00461078"/>
    <w:rsid w:val="00616664"/>
    <w:rsid w:val="00661489"/>
    <w:rsid w:val="00740498"/>
    <w:rsid w:val="007641E4"/>
    <w:rsid w:val="007B6A92"/>
    <w:rsid w:val="00850D2F"/>
    <w:rsid w:val="009066E7"/>
    <w:rsid w:val="00980F97"/>
    <w:rsid w:val="009B6080"/>
    <w:rsid w:val="009D7D39"/>
    <w:rsid w:val="00A14222"/>
    <w:rsid w:val="00AB1E28"/>
    <w:rsid w:val="00BB5C31"/>
    <w:rsid w:val="00DB165B"/>
    <w:rsid w:val="00DC4873"/>
    <w:rsid w:val="00E0754C"/>
    <w:rsid w:val="00FB3CB7"/>
    <w:rsid w:val="00FB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F02A36CC7D4142DF8E0171BFD45FEF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DC88C-7669-4737-9598-FC8FD135C4A4}"/>
      </w:docPartPr>
      <w:docPartBody>
        <w:p w:rsidR="00066353" w:rsidRDefault="00475C64" w:rsidP="00475C64">
          <w:pPr>
            <w:pStyle w:val="F02A36CC7D4142DF8E0171BFD45FEFC0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FB6B1CB9003A4672AF336FE78B920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F9CDB-1770-4FB8-AF3F-AA3B038BD12F}"/>
      </w:docPartPr>
      <w:docPartBody>
        <w:p w:rsidR="00066353" w:rsidRDefault="00475C64" w:rsidP="00475C64">
          <w:pPr>
            <w:pStyle w:val="FB6B1CB9003A4672AF336FE78B9207E6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66353"/>
    <w:rsid w:val="000E1036"/>
    <w:rsid w:val="003A5764"/>
    <w:rsid w:val="00475C64"/>
    <w:rsid w:val="00484872"/>
    <w:rsid w:val="005E611E"/>
    <w:rsid w:val="00702975"/>
    <w:rsid w:val="007641E4"/>
    <w:rsid w:val="009D7D39"/>
    <w:rsid w:val="00A14222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475C6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F02A36CC7D4142DF8E0171BFD45FEFC0">
    <w:name w:val="F02A36CC7D4142DF8E0171BFD45FEFC0"/>
    <w:rsid w:val="00475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FB6B1CB9003A4672AF336FE78B9207E6">
    <w:name w:val="FB6B1CB9003A4672AF336FE78B9207E6"/>
    <w:rsid w:val="00475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Kristina Hintenausová</cp:lastModifiedBy>
  <cp:revision>2</cp:revision>
  <dcterms:created xsi:type="dcterms:W3CDTF">2026-06-16T10:04:00Z</dcterms:created>
  <dcterms:modified xsi:type="dcterms:W3CDTF">2026-06-16T10:04:00Z</dcterms:modified>
</cp:coreProperties>
</file>