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F7CC" w14:textId="77777777" w:rsidR="00A93D3A" w:rsidRPr="00C836A5" w:rsidRDefault="00A93D3A" w:rsidP="00A93D3A">
      <w:pPr>
        <w:tabs>
          <w:tab w:val="center" w:pos="4536"/>
          <w:tab w:val="right" w:pos="9072"/>
        </w:tabs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61312" behindDoc="1" locked="0" layoutInCell="1" allowOverlap="0" wp14:anchorId="557421CD" wp14:editId="634197C7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285B85C9" w14:textId="0D8C2BAC" w:rsidR="00BF06E9" w:rsidRDefault="00A93D3A" w:rsidP="00A93D3A">
      <w:pPr>
        <w:spacing w:before="120"/>
        <w:rPr>
          <w:rFonts w:asciiTheme="majorHAnsi" w:hAnsiTheme="majorHAnsi" w:cs="Arial"/>
          <w:b/>
          <w:sz w:val="32"/>
          <w:szCs w:val="32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13750FD3" w14:textId="77777777" w:rsidR="00A93D3A" w:rsidRDefault="00A93D3A" w:rsidP="0007445C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14:paraId="5A28394C" w14:textId="3A2E0B52" w:rsidR="00A37DD6" w:rsidRPr="001A7A0D" w:rsidRDefault="007E042B" w:rsidP="001A7A0D">
      <w:pPr>
        <w:spacing w:before="60"/>
        <w:jc w:val="center"/>
        <w:rPr>
          <w:rFonts w:asciiTheme="majorHAnsi" w:hAnsiTheme="majorHAnsi" w:cs="Arial"/>
          <w:b/>
          <w:sz w:val="32"/>
          <w:szCs w:val="32"/>
        </w:rPr>
      </w:pPr>
      <w:r>
        <w:rPr>
          <w:rFonts w:asciiTheme="majorHAnsi" w:hAnsiTheme="majorHAnsi" w:cs="Arial"/>
          <w:b/>
          <w:sz w:val="32"/>
          <w:szCs w:val="32"/>
        </w:rPr>
        <w:t>O</w:t>
      </w:r>
      <w:r w:rsidR="00CB2D66">
        <w:rPr>
          <w:rFonts w:asciiTheme="majorHAnsi" w:hAnsiTheme="majorHAnsi" w:cs="Arial"/>
          <w:b/>
          <w:sz w:val="32"/>
          <w:szCs w:val="32"/>
        </w:rPr>
        <w:t xml:space="preserve">becně závazná vyhláška č. </w:t>
      </w:r>
      <w:r w:rsidR="008771BF">
        <w:rPr>
          <w:rFonts w:asciiTheme="majorHAnsi" w:hAnsiTheme="majorHAnsi" w:cs="Arial"/>
          <w:b/>
          <w:sz w:val="32"/>
          <w:szCs w:val="32"/>
        </w:rPr>
        <w:t>3</w:t>
      </w:r>
      <w:r w:rsidR="00CB2D66">
        <w:rPr>
          <w:rFonts w:asciiTheme="majorHAnsi" w:hAnsiTheme="majorHAnsi" w:cs="Arial"/>
          <w:b/>
          <w:sz w:val="32"/>
          <w:szCs w:val="32"/>
        </w:rPr>
        <w:t>/202</w:t>
      </w:r>
      <w:r w:rsidR="008771BF">
        <w:rPr>
          <w:rFonts w:asciiTheme="majorHAnsi" w:hAnsiTheme="majorHAnsi" w:cs="Arial"/>
          <w:b/>
          <w:sz w:val="32"/>
          <w:szCs w:val="32"/>
        </w:rPr>
        <w:t>5</w:t>
      </w:r>
    </w:p>
    <w:p w14:paraId="542B0B2C" w14:textId="49C78A65" w:rsidR="00A37DD6" w:rsidRPr="009F5A24" w:rsidRDefault="00A93D3A" w:rsidP="001A7A0D">
      <w:pPr>
        <w:pStyle w:val="Zkladntext"/>
        <w:jc w:val="center"/>
        <w:rPr>
          <w:rFonts w:asciiTheme="majorHAnsi" w:hAnsiTheme="majorHAnsi"/>
          <w:b/>
          <w:bCs/>
          <w:caps/>
          <w:sz w:val="32"/>
          <w:szCs w:val="32"/>
          <w:u w:val="single"/>
        </w:rPr>
      </w:pPr>
      <w:r>
        <w:rPr>
          <w:rFonts w:asciiTheme="majorHAnsi" w:hAnsiTheme="majorHAnsi"/>
          <w:b/>
          <w:bCs/>
          <w:sz w:val="32"/>
          <w:szCs w:val="32"/>
        </w:rPr>
        <w:t>o</w:t>
      </w:r>
      <w:r w:rsidRPr="00A93D3A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3E32A0" w:rsidRPr="00A93D3A">
        <w:rPr>
          <w:rFonts w:asciiTheme="majorHAnsi" w:hAnsiTheme="majorHAnsi"/>
          <w:b/>
          <w:bCs/>
          <w:sz w:val="32"/>
          <w:szCs w:val="32"/>
        </w:rPr>
        <w:t>stanovení obecního systému odpadového hospodářství</w:t>
      </w:r>
    </w:p>
    <w:p w14:paraId="12588CC6" w14:textId="77777777" w:rsidR="008271CC" w:rsidRPr="00C35B4D" w:rsidRDefault="008271CC" w:rsidP="001A7A0D">
      <w:pPr>
        <w:spacing w:before="60"/>
        <w:rPr>
          <w:rFonts w:asciiTheme="majorHAnsi" w:hAnsiTheme="majorHAnsi"/>
          <w:sz w:val="24"/>
          <w:szCs w:val="24"/>
        </w:rPr>
      </w:pPr>
    </w:p>
    <w:p w14:paraId="6A1D5015" w14:textId="1C7288FA" w:rsidR="00477F2F" w:rsidRPr="001A7A0D" w:rsidRDefault="00477F2F" w:rsidP="003E32A0">
      <w:pPr>
        <w:pStyle w:val="Zkladntext"/>
        <w:widowControl w:val="0"/>
        <w:spacing w:before="60"/>
        <w:ind w:firstLine="397"/>
        <w:rPr>
          <w:rFonts w:asciiTheme="majorHAnsi" w:hAnsiTheme="majorHAnsi"/>
        </w:rPr>
      </w:pPr>
      <w:r w:rsidRPr="001A7A0D">
        <w:rPr>
          <w:rFonts w:asciiTheme="majorHAnsi" w:hAnsiTheme="majorHAnsi"/>
        </w:rPr>
        <w:t xml:space="preserve">Zastupitelstvo </w:t>
      </w:r>
      <w:r w:rsidR="00A37DD6" w:rsidRPr="001A7A0D">
        <w:rPr>
          <w:rFonts w:asciiTheme="majorHAnsi" w:hAnsiTheme="majorHAnsi"/>
        </w:rPr>
        <w:t>městyse Okříšky</w:t>
      </w:r>
      <w:r w:rsidR="00094C3A" w:rsidRPr="001A7A0D">
        <w:rPr>
          <w:rFonts w:asciiTheme="majorHAnsi" w:hAnsiTheme="majorHAnsi"/>
        </w:rPr>
        <w:t xml:space="preserve"> </w:t>
      </w:r>
      <w:r w:rsidRPr="001A7A0D">
        <w:rPr>
          <w:rFonts w:asciiTheme="majorHAnsi" w:hAnsiTheme="majorHAnsi"/>
        </w:rPr>
        <w:t xml:space="preserve">se na svém zasedání </w:t>
      </w:r>
      <w:r w:rsidRPr="0068270D">
        <w:rPr>
          <w:rFonts w:asciiTheme="majorHAnsi" w:hAnsiTheme="majorHAnsi"/>
        </w:rPr>
        <w:t xml:space="preserve">dne </w:t>
      </w:r>
      <w:r w:rsidR="00E84D19">
        <w:rPr>
          <w:rFonts w:asciiTheme="majorHAnsi" w:hAnsiTheme="majorHAnsi"/>
        </w:rPr>
        <w:t>15</w:t>
      </w:r>
      <w:r w:rsidR="00CB3042" w:rsidRPr="0068270D">
        <w:rPr>
          <w:rFonts w:asciiTheme="majorHAnsi" w:hAnsiTheme="majorHAnsi"/>
        </w:rPr>
        <w:t xml:space="preserve">. </w:t>
      </w:r>
      <w:r w:rsidR="00E84D19">
        <w:rPr>
          <w:rFonts w:asciiTheme="majorHAnsi" w:hAnsiTheme="majorHAnsi"/>
        </w:rPr>
        <w:t>prosince</w:t>
      </w:r>
      <w:r w:rsidR="003E32A0">
        <w:rPr>
          <w:rFonts w:asciiTheme="majorHAnsi" w:hAnsiTheme="majorHAnsi"/>
        </w:rPr>
        <w:t xml:space="preserve"> 202</w:t>
      </w:r>
      <w:r w:rsidR="00E84D19">
        <w:rPr>
          <w:rFonts w:asciiTheme="majorHAnsi" w:hAnsiTheme="majorHAnsi"/>
        </w:rPr>
        <w:t>5</w:t>
      </w:r>
      <w:r w:rsidRPr="0068270D">
        <w:rPr>
          <w:rFonts w:asciiTheme="majorHAnsi" w:hAnsiTheme="majorHAnsi"/>
        </w:rPr>
        <w:t xml:space="preserve"> </w:t>
      </w:r>
      <w:bookmarkStart w:id="0" w:name="_Hlk215668744"/>
      <w:r w:rsidR="00E84D19" w:rsidRPr="00AE6C2F">
        <w:rPr>
          <w:rFonts w:asciiTheme="majorHAnsi" w:hAnsiTheme="majorHAnsi"/>
        </w:rPr>
        <w:t xml:space="preserve">usneslo </w:t>
      </w:r>
      <w:r w:rsidR="007E042B" w:rsidRPr="0068270D">
        <w:rPr>
          <w:rFonts w:asciiTheme="majorHAnsi" w:hAnsiTheme="majorHAnsi"/>
        </w:rPr>
        <w:t xml:space="preserve">usnesením č. </w:t>
      </w:r>
      <w:r w:rsidR="006237FE" w:rsidRPr="00AE6C2F">
        <w:rPr>
          <w:rFonts w:asciiTheme="majorHAnsi" w:hAnsiTheme="majorHAnsi"/>
        </w:rPr>
        <w:t>X</w:t>
      </w:r>
      <w:r w:rsidR="008771BF">
        <w:rPr>
          <w:rFonts w:asciiTheme="majorHAnsi" w:hAnsiTheme="majorHAnsi"/>
        </w:rPr>
        <w:t>X</w:t>
      </w:r>
      <w:r w:rsidR="00CB3042" w:rsidRPr="00AE6C2F">
        <w:rPr>
          <w:rFonts w:asciiTheme="majorHAnsi" w:hAnsiTheme="majorHAnsi"/>
        </w:rPr>
        <w:t>/</w:t>
      </w:r>
      <w:r w:rsidR="00CE2D70">
        <w:rPr>
          <w:rFonts w:asciiTheme="majorHAnsi" w:hAnsiTheme="majorHAnsi"/>
        </w:rPr>
        <w:t>5</w:t>
      </w:r>
      <w:r w:rsidR="003E32A0" w:rsidRPr="00AE6C2F">
        <w:rPr>
          <w:rFonts w:asciiTheme="majorHAnsi" w:hAnsiTheme="majorHAnsi"/>
        </w:rPr>
        <w:t>/202</w:t>
      </w:r>
      <w:r w:rsidR="008771BF">
        <w:rPr>
          <w:rFonts w:asciiTheme="majorHAnsi" w:hAnsiTheme="majorHAnsi"/>
        </w:rPr>
        <w:t>5</w:t>
      </w:r>
      <w:r w:rsidR="007E042B" w:rsidRPr="00AE6C2F">
        <w:rPr>
          <w:rFonts w:asciiTheme="majorHAnsi" w:hAnsiTheme="majorHAnsi"/>
        </w:rPr>
        <w:t xml:space="preserve"> </w:t>
      </w:r>
      <w:bookmarkEnd w:id="0"/>
      <w:r w:rsidR="007E042B" w:rsidRPr="0068270D">
        <w:rPr>
          <w:rFonts w:asciiTheme="majorHAnsi" w:hAnsiTheme="majorHAnsi"/>
        </w:rPr>
        <w:t xml:space="preserve">vydat </w:t>
      </w:r>
      <w:r w:rsidRPr="0068270D">
        <w:rPr>
          <w:rFonts w:asciiTheme="majorHAnsi" w:hAnsiTheme="majorHAnsi"/>
        </w:rPr>
        <w:t xml:space="preserve">na základě </w:t>
      </w:r>
      <w:r w:rsidR="003E32A0" w:rsidRPr="003E32A0">
        <w:rPr>
          <w:rFonts w:asciiTheme="majorHAnsi" w:hAnsiTheme="majorHAnsi"/>
        </w:rPr>
        <w:t xml:space="preserve">na základě § 59 odst. 4 zákona </w:t>
      </w:r>
      <w:r w:rsidR="00E34A1D">
        <w:rPr>
          <w:rFonts w:asciiTheme="majorHAnsi" w:hAnsiTheme="majorHAnsi"/>
        </w:rPr>
        <w:t xml:space="preserve">č. </w:t>
      </w:r>
      <w:r w:rsidR="003E32A0">
        <w:rPr>
          <w:rFonts w:asciiTheme="majorHAnsi" w:hAnsiTheme="majorHAnsi"/>
        </w:rPr>
        <w:t xml:space="preserve">541/2020 Sb. </w:t>
      </w:r>
      <w:r w:rsidR="003E32A0" w:rsidRPr="003E32A0">
        <w:rPr>
          <w:rFonts w:asciiTheme="majorHAnsi" w:hAnsiTheme="majorHAnsi"/>
        </w:rPr>
        <w:t>o odpadech, (dále jen „zákon</w:t>
      </w:r>
      <w:r w:rsidR="003E32A0">
        <w:rPr>
          <w:rFonts w:asciiTheme="majorHAnsi" w:hAnsiTheme="majorHAnsi"/>
        </w:rPr>
        <w:t xml:space="preserve"> </w:t>
      </w:r>
      <w:r w:rsidR="003E32A0" w:rsidRPr="003E32A0">
        <w:rPr>
          <w:rFonts w:asciiTheme="majorHAnsi" w:hAnsiTheme="majorHAnsi"/>
        </w:rPr>
        <w:t xml:space="preserve">o odpadech“), a v souladu s § 10 písm. d) a § 84 odst. 2 </w:t>
      </w:r>
      <w:r w:rsidR="003E32A0">
        <w:rPr>
          <w:rFonts w:asciiTheme="majorHAnsi" w:hAnsiTheme="majorHAnsi"/>
        </w:rPr>
        <w:t xml:space="preserve">písm. h) zákona č. 128/2000 Sb. </w:t>
      </w:r>
      <w:r w:rsidR="003E32A0" w:rsidRPr="003E32A0">
        <w:rPr>
          <w:rFonts w:asciiTheme="majorHAnsi" w:hAnsiTheme="majorHAnsi"/>
        </w:rPr>
        <w:t>o obcích (obecní zřízení), ve znění pozdějších předpisů</w:t>
      </w:r>
      <w:r w:rsidR="007E042B" w:rsidRPr="001A7A0D">
        <w:rPr>
          <w:rFonts w:asciiTheme="majorHAnsi" w:hAnsiTheme="majorHAnsi"/>
        </w:rPr>
        <w:t>, tuto obecně závaznou vyhlášku</w:t>
      </w:r>
      <w:r w:rsidRPr="001A7A0D">
        <w:rPr>
          <w:rFonts w:asciiTheme="majorHAnsi" w:hAnsiTheme="majorHAnsi"/>
        </w:rPr>
        <w:t>:</w:t>
      </w:r>
    </w:p>
    <w:p w14:paraId="019632C3" w14:textId="77777777" w:rsidR="001A7A0D" w:rsidRDefault="001A7A0D" w:rsidP="00BF06E9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br/>
        <w:t>Článek</w:t>
      </w:r>
      <w:r w:rsidR="00477F2F" w:rsidRPr="001A7A0D">
        <w:rPr>
          <w:rFonts w:asciiTheme="majorHAnsi" w:hAnsiTheme="majorHAnsi"/>
          <w:b/>
          <w:bCs/>
          <w:sz w:val="24"/>
          <w:szCs w:val="24"/>
        </w:rPr>
        <w:t xml:space="preserve"> 1</w:t>
      </w:r>
    </w:p>
    <w:p w14:paraId="7A26235A" w14:textId="77777777" w:rsidR="00477F2F" w:rsidRPr="001A7A0D" w:rsidRDefault="003E32A0" w:rsidP="00A2425D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3E32A0">
        <w:rPr>
          <w:rFonts w:asciiTheme="majorHAnsi" w:hAnsiTheme="majorHAnsi"/>
          <w:b/>
          <w:bCs/>
          <w:sz w:val="24"/>
          <w:szCs w:val="24"/>
        </w:rPr>
        <w:t>Úvodní ustanovení</w:t>
      </w:r>
    </w:p>
    <w:p w14:paraId="24271C99" w14:textId="77777777" w:rsidR="003E32A0" w:rsidRPr="003E32A0" w:rsidRDefault="003E32A0" w:rsidP="001D132C">
      <w:pPr>
        <w:pStyle w:val="Odstavecseseznamem"/>
        <w:widowControl w:val="0"/>
        <w:numPr>
          <w:ilvl w:val="0"/>
          <w:numId w:val="5"/>
        </w:numPr>
        <w:spacing w:before="6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3E32A0">
        <w:rPr>
          <w:rFonts w:asciiTheme="majorHAnsi" w:hAnsiTheme="majorHAnsi"/>
          <w:sz w:val="24"/>
          <w:szCs w:val="24"/>
        </w:rPr>
        <w:t xml:space="preserve">Tato vyhláška stanovuje obecní systém odpadového hospodářství na území </w:t>
      </w:r>
      <w:r>
        <w:rPr>
          <w:rFonts w:asciiTheme="majorHAnsi" w:hAnsiTheme="majorHAnsi"/>
          <w:sz w:val="24"/>
          <w:szCs w:val="24"/>
        </w:rPr>
        <w:t>městyse Okříšky.</w:t>
      </w:r>
    </w:p>
    <w:p w14:paraId="0B80E3FD" w14:textId="77777777" w:rsidR="003E32A0" w:rsidRPr="003E32A0" w:rsidRDefault="003E32A0" w:rsidP="001D132C">
      <w:pPr>
        <w:pStyle w:val="Odstavecseseznamem"/>
        <w:widowControl w:val="0"/>
        <w:numPr>
          <w:ilvl w:val="0"/>
          <w:numId w:val="5"/>
        </w:numPr>
        <w:spacing w:before="6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3E32A0">
        <w:rPr>
          <w:rFonts w:asciiTheme="majorHAnsi" w:hAnsiTheme="majorHAnsi"/>
          <w:sz w:val="24"/>
          <w:szCs w:val="24"/>
        </w:rPr>
        <w:t>Každý je povinen odpad nebo movitou věc, které předává do obecního systému, odkládat na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32A0">
        <w:rPr>
          <w:rFonts w:asciiTheme="majorHAnsi" w:hAnsiTheme="majorHAnsi"/>
          <w:sz w:val="24"/>
          <w:szCs w:val="24"/>
        </w:rPr>
        <w:t xml:space="preserve">místa určená </w:t>
      </w:r>
      <w:r>
        <w:rPr>
          <w:rFonts w:asciiTheme="majorHAnsi" w:hAnsiTheme="majorHAnsi"/>
          <w:sz w:val="24"/>
          <w:szCs w:val="24"/>
        </w:rPr>
        <w:t xml:space="preserve">městysem </w:t>
      </w:r>
      <w:r w:rsidRPr="003E32A0">
        <w:rPr>
          <w:rFonts w:asciiTheme="majorHAnsi" w:hAnsiTheme="majorHAnsi"/>
          <w:sz w:val="24"/>
          <w:szCs w:val="24"/>
        </w:rPr>
        <w:t>v souladu s povinnostmi stanovenými pro daný druh, kategorii nebo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32A0">
        <w:rPr>
          <w:rFonts w:asciiTheme="majorHAnsi" w:hAnsiTheme="majorHAnsi"/>
          <w:sz w:val="24"/>
          <w:szCs w:val="24"/>
        </w:rPr>
        <w:t>materiál odpadu nebo movitých věcí zákonem o odpadech a touto vyhláškou</w:t>
      </w:r>
      <w:r w:rsidR="00E34A1D" w:rsidRPr="00E34A1D">
        <w:rPr>
          <w:rFonts w:ascii="Cambria" w:hAnsi="Cambria" w:cs="Arial"/>
          <w:sz w:val="24"/>
          <w:szCs w:val="24"/>
          <w:vertAlign w:val="superscript"/>
        </w:rPr>
        <w:footnoteReference w:id="1"/>
      </w:r>
      <w:r w:rsidRPr="003E32A0">
        <w:rPr>
          <w:rFonts w:asciiTheme="majorHAnsi" w:hAnsiTheme="majorHAnsi"/>
          <w:sz w:val="24"/>
          <w:szCs w:val="24"/>
        </w:rPr>
        <w:t>.</w:t>
      </w:r>
    </w:p>
    <w:p w14:paraId="6AB7228C" w14:textId="77777777" w:rsidR="003E32A0" w:rsidRPr="003E32A0" w:rsidRDefault="003E32A0" w:rsidP="001D132C">
      <w:pPr>
        <w:pStyle w:val="Odstavecseseznamem"/>
        <w:widowControl w:val="0"/>
        <w:numPr>
          <w:ilvl w:val="0"/>
          <w:numId w:val="5"/>
        </w:numPr>
        <w:spacing w:before="6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3E32A0">
        <w:rPr>
          <w:rFonts w:asciiTheme="majorHAnsi" w:hAnsiTheme="majorHAnsi"/>
          <w:sz w:val="24"/>
          <w:szCs w:val="24"/>
        </w:rPr>
        <w:t>V okamžiku, kdy osoba zapojená do obecního systém</w:t>
      </w:r>
      <w:r>
        <w:rPr>
          <w:rFonts w:asciiTheme="majorHAnsi" w:hAnsiTheme="majorHAnsi"/>
          <w:sz w:val="24"/>
          <w:szCs w:val="24"/>
        </w:rPr>
        <w:t xml:space="preserve">u odloží movitou věc nebo odpad </w:t>
      </w:r>
      <w:r w:rsidRPr="003E32A0">
        <w:rPr>
          <w:rFonts w:asciiTheme="majorHAnsi" w:hAnsiTheme="majorHAnsi"/>
          <w:sz w:val="24"/>
          <w:szCs w:val="24"/>
        </w:rPr>
        <w:t xml:space="preserve">s výjimkou výrobků s ukončenou životností, na místě </w:t>
      </w:r>
      <w:r>
        <w:rPr>
          <w:rFonts w:asciiTheme="majorHAnsi" w:hAnsiTheme="majorHAnsi"/>
          <w:sz w:val="24"/>
          <w:szCs w:val="24"/>
        </w:rPr>
        <w:t>městysem</w:t>
      </w:r>
      <w:r w:rsidRPr="003E32A0">
        <w:rPr>
          <w:rFonts w:asciiTheme="majorHAnsi" w:hAnsiTheme="majorHAnsi"/>
          <w:sz w:val="24"/>
          <w:szCs w:val="24"/>
        </w:rPr>
        <w:t xml:space="preserve"> k tomuto účelu určeném, stává se</w:t>
      </w:r>
      <w:r>
        <w:rPr>
          <w:rFonts w:asciiTheme="majorHAnsi" w:hAnsiTheme="majorHAnsi"/>
          <w:sz w:val="24"/>
          <w:szCs w:val="24"/>
        </w:rPr>
        <w:t xml:space="preserve"> městys </w:t>
      </w:r>
      <w:r w:rsidRPr="003E32A0">
        <w:rPr>
          <w:rFonts w:asciiTheme="majorHAnsi" w:hAnsiTheme="majorHAnsi"/>
          <w:sz w:val="24"/>
          <w:szCs w:val="24"/>
        </w:rPr>
        <w:t>vlastníkem této movité věci nebo odpadu</w:t>
      </w:r>
      <w:r w:rsidR="00E34A1D" w:rsidRPr="00E34A1D">
        <w:rPr>
          <w:rFonts w:ascii="Cambria" w:hAnsi="Cambria" w:cs="Arial"/>
          <w:sz w:val="24"/>
          <w:szCs w:val="24"/>
          <w:vertAlign w:val="superscript"/>
        </w:rPr>
        <w:footnoteReference w:id="2"/>
      </w:r>
      <w:r w:rsidRPr="003E32A0">
        <w:rPr>
          <w:rFonts w:asciiTheme="majorHAnsi" w:hAnsiTheme="majorHAnsi"/>
          <w:sz w:val="24"/>
          <w:szCs w:val="24"/>
        </w:rPr>
        <w:t>.</w:t>
      </w:r>
    </w:p>
    <w:p w14:paraId="0EB53333" w14:textId="77777777" w:rsidR="00214AE9" w:rsidRPr="003E32A0" w:rsidRDefault="003E32A0" w:rsidP="001D132C">
      <w:pPr>
        <w:pStyle w:val="Odstavecseseznamem"/>
        <w:widowControl w:val="0"/>
        <w:numPr>
          <w:ilvl w:val="0"/>
          <w:numId w:val="5"/>
        </w:numPr>
        <w:spacing w:before="6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3E32A0">
        <w:rPr>
          <w:rFonts w:asciiTheme="majorHAnsi" w:hAnsiTheme="majorHAnsi"/>
          <w:sz w:val="24"/>
          <w:szCs w:val="24"/>
        </w:rPr>
        <w:t>Stanoviště sběrných nádob je místo, kde jsou sběrné nádoby trvale nebo přechodně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32A0">
        <w:rPr>
          <w:rFonts w:asciiTheme="majorHAnsi" w:hAnsiTheme="majorHAnsi"/>
          <w:sz w:val="24"/>
          <w:szCs w:val="24"/>
        </w:rPr>
        <w:t>umístěny za účelem dalšího nakládání se směsným komunálním odpadem. Stanoviště</w:t>
      </w:r>
      <w:r>
        <w:rPr>
          <w:rFonts w:asciiTheme="majorHAnsi" w:hAnsiTheme="majorHAnsi"/>
          <w:sz w:val="24"/>
          <w:szCs w:val="24"/>
        </w:rPr>
        <w:t xml:space="preserve"> </w:t>
      </w:r>
      <w:r w:rsidRPr="003E32A0">
        <w:rPr>
          <w:rFonts w:asciiTheme="majorHAnsi" w:hAnsiTheme="majorHAnsi"/>
          <w:sz w:val="24"/>
          <w:szCs w:val="24"/>
        </w:rPr>
        <w:t>sběrných nádob jsou individuální nebo společná pro více uživatelů.</w:t>
      </w:r>
      <w:r w:rsidR="00477F2F" w:rsidRPr="003E32A0">
        <w:rPr>
          <w:rFonts w:asciiTheme="majorHAnsi" w:hAnsiTheme="majorHAnsi"/>
          <w:sz w:val="24"/>
          <w:szCs w:val="24"/>
        </w:rPr>
        <w:t xml:space="preserve"> </w:t>
      </w:r>
    </w:p>
    <w:p w14:paraId="5879D2F0" w14:textId="77777777" w:rsidR="00A2425D" w:rsidRPr="001A7A0D" w:rsidRDefault="00A2425D" w:rsidP="0057472F">
      <w:pPr>
        <w:widowControl w:val="0"/>
        <w:spacing w:before="60"/>
        <w:jc w:val="both"/>
        <w:rPr>
          <w:rFonts w:asciiTheme="majorHAnsi" w:hAnsiTheme="majorHAnsi"/>
          <w:sz w:val="24"/>
          <w:szCs w:val="24"/>
        </w:rPr>
      </w:pPr>
    </w:p>
    <w:p w14:paraId="549E2FDB" w14:textId="77777777" w:rsidR="00477F2F" w:rsidRPr="001A7A0D" w:rsidRDefault="001A7A0D" w:rsidP="00C256C7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Článek</w:t>
      </w:r>
      <w:r w:rsidR="00477F2F" w:rsidRPr="001A7A0D">
        <w:rPr>
          <w:rFonts w:asciiTheme="majorHAnsi" w:hAnsiTheme="majorHAnsi"/>
          <w:sz w:val="24"/>
          <w:szCs w:val="24"/>
        </w:rPr>
        <w:t xml:space="preserve"> </w:t>
      </w:r>
      <w:r w:rsidR="00567C44" w:rsidRPr="001A7A0D">
        <w:rPr>
          <w:rFonts w:asciiTheme="majorHAnsi" w:hAnsiTheme="majorHAnsi"/>
          <w:sz w:val="24"/>
          <w:szCs w:val="24"/>
        </w:rPr>
        <w:t>2</w:t>
      </w:r>
    </w:p>
    <w:p w14:paraId="539EC943" w14:textId="77777777" w:rsidR="00477F2F" w:rsidRPr="001A7A0D" w:rsidRDefault="00E34A1D" w:rsidP="00A2425D">
      <w:pPr>
        <w:widowControl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E34A1D">
        <w:rPr>
          <w:rFonts w:asciiTheme="majorHAnsi" w:hAnsiTheme="majorHAnsi"/>
          <w:b/>
          <w:bCs/>
          <w:sz w:val="24"/>
          <w:szCs w:val="24"/>
        </w:rPr>
        <w:t>Oddělené soustřeďování komunálního odpadu</w:t>
      </w:r>
    </w:p>
    <w:p w14:paraId="0D9BEDFA" w14:textId="77777777" w:rsidR="005B32E5" w:rsidRPr="001A7A0D" w:rsidRDefault="00E34A1D" w:rsidP="001D132C">
      <w:pPr>
        <w:pStyle w:val="Zkladntext3"/>
        <w:widowControl w:val="0"/>
        <w:numPr>
          <w:ilvl w:val="0"/>
          <w:numId w:val="6"/>
        </w:numPr>
        <w:spacing w:before="120"/>
        <w:ind w:left="357" w:hanging="357"/>
        <w:rPr>
          <w:rFonts w:asciiTheme="majorHAnsi" w:hAnsiTheme="majorHAnsi"/>
          <w:sz w:val="24"/>
          <w:szCs w:val="24"/>
        </w:rPr>
      </w:pPr>
      <w:r w:rsidRPr="00E34A1D">
        <w:rPr>
          <w:rFonts w:asciiTheme="majorHAnsi" w:hAnsiTheme="majorHAnsi"/>
          <w:sz w:val="24"/>
          <w:szCs w:val="24"/>
        </w:rPr>
        <w:t xml:space="preserve">Osoby předávající komunální odpad na místa určená </w:t>
      </w:r>
      <w:r w:rsidR="008956E9">
        <w:rPr>
          <w:rFonts w:asciiTheme="majorHAnsi" w:hAnsiTheme="majorHAnsi"/>
          <w:sz w:val="24"/>
          <w:szCs w:val="24"/>
        </w:rPr>
        <w:t>městysem</w:t>
      </w:r>
      <w:r w:rsidRPr="00E34A1D">
        <w:rPr>
          <w:rFonts w:asciiTheme="majorHAnsi" w:hAnsiTheme="majorHAnsi"/>
          <w:sz w:val="24"/>
          <w:szCs w:val="24"/>
        </w:rPr>
        <w:t xml:space="preserve"> jsou povinny odděleně</w:t>
      </w:r>
      <w:r>
        <w:rPr>
          <w:rFonts w:asciiTheme="majorHAnsi" w:hAnsiTheme="majorHAnsi"/>
          <w:sz w:val="24"/>
          <w:szCs w:val="24"/>
        </w:rPr>
        <w:t xml:space="preserve"> soustřeďovat následující složky</w:t>
      </w:r>
      <w:r w:rsidR="005B32E5" w:rsidRPr="001A7A0D">
        <w:rPr>
          <w:rFonts w:asciiTheme="majorHAnsi" w:hAnsiTheme="majorHAnsi"/>
          <w:sz w:val="24"/>
          <w:szCs w:val="24"/>
        </w:rPr>
        <w:t>:</w:t>
      </w:r>
    </w:p>
    <w:p w14:paraId="3205531B" w14:textId="77777777" w:rsidR="002F456F" w:rsidRDefault="00A2425D" w:rsidP="001D132C">
      <w:pPr>
        <w:pStyle w:val="Zkladntext3"/>
        <w:widowControl w:val="0"/>
        <w:numPr>
          <w:ilvl w:val="0"/>
          <w:numId w:val="1"/>
        </w:numPr>
        <w:spacing w:before="60"/>
        <w:ind w:left="782" w:hanging="357"/>
        <w:outlineLvl w:val="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biologicky rozložitelné</w:t>
      </w:r>
      <w:r w:rsidR="002F456F">
        <w:rPr>
          <w:rFonts w:asciiTheme="majorHAnsi" w:hAnsiTheme="majorHAnsi"/>
          <w:sz w:val="24"/>
          <w:szCs w:val="24"/>
        </w:rPr>
        <w:t xml:space="preserve"> odpady</w:t>
      </w:r>
    </w:p>
    <w:p w14:paraId="115210FF" w14:textId="77777777" w:rsidR="005B32E5" w:rsidRPr="001A7A0D" w:rsidRDefault="005B32E5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 w:rsidRPr="001A7A0D">
        <w:rPr>
          <w:rFonts w:asciiTheme="majorHAnsi" w:hAnsiTheme="majorHAnsi"/>
          <w:sz w:val="24"/>
          <w:szCs w:val="24"/>
        </w:rPr>
        <w:t xml:space="preserve">papír, </w:t>
      </w:r>
    </w:p>
    <w:p w14:paraId="1462C67B" w14:textId="77777777" w:rsidR="005B32E5" w:rsidRPr="001A7A0D" w:rsidRDefault="005B32E5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 w:rsidRPr="004E460B">
        <w:rPr>
          <w:rFonts w:asciiTheme="majorHAnsi" w:hAnsiTheme="majorHAnsi"/>
          <w:sz w:val="24"/>
          <w:szCs w:val="24"/>
        </w:rPr>
        <w:t>plasty</w:t>
      </w:r>
      <w:r w:rsidR="002F456F" w:rsidRPr="004E460B">
        <w:rPr>
          <w:rFonts w:asciiTheme="majorHAnsi" w:hAnsiTheme="majorHAnsi"/>
          <w:sz w:val="24"/>
          <w:szCs w:val="24"/>
        </w:rPr>
        <w:t xml:space="preserve"> včetně PET lahví</w:t>
      </w:r>
      <w:r w:rsidRPr="004E460B">
        <w:rPr>
          <w:rFonts w:asciiTheme="majorHAnsi" w:hAnsiTheme="majorHAnsi"/>
          <w:sz w:val="24"/>
          <w:szCs w:val="24"/>
        </w:rPr>
        <w:t xml:space="preserve"> a nápojové </w:t>
      </w:r>
      <w:r w:rsidRPr="001A7A0D">
        <w:rPr>
          <w:rFonts w:asciiTheme="majorHAnsi" w:hAnsiTheme="majorHAnsi"/>
          <w:sz w:val="24"/>
          <w:szCs w:val="24"/>
        </w:rPr>
        <w:t>kartony</w:t>
      </w:r>
      <w:r w:rsidR="00A13EB6">
        <w:rPr>
          <w:rFonts w:asciiTheme="majorHAnsi" w:hAnsiTheme="majorHAnsi"/>
          <w:sz w:val="24"/>
          <w:szCs w:val="24"/>
        </w:rPr>
        <w:t>,</w:t>
      </w:r>
    </w:p>
    <w:p w14:paraId="2C6506DF" w14:textId="77777777" w:rsidR="002F456F" w:rsidRPr="001A7A0D" w:rsidRDefault="002F456F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 w:rsidRPr="001A7A0D">
        <w:rPr>
          <w:rFonts w:asciiTheme="majorHAnsi" w:hAnsiTheme="majorHAnsi"/>
          <w:sz w:val="24"/>
          <w:szCs w:val="24"/>
        </w:rPr>
        <w:t>sklo čiré a sklo barevné</w:t>
      </w:r>
      <w:r>
        <w:rPr>
          <w:rFonts w:asciiTheme="majorHAnsi" w:hAnsiTheme="majorHAnsi"/>
          <w:sz w:val="24"/>
          <w:szCs w:val="24"/>
        </w:rPr>
        <w:t>,</w:t>
      </w:r>
    </w:p>
    <w:p w14:paraId="3AC5569A" w14:textId="77777777" w:rsidR="006237FE" w:rsidRPr="0068270D" w:rsidRDefault="005B32E5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 w:rsidRPr="0068270D">
        <w:rPr>
          <w:rFonts w:asciiTheme="majorHAnsi" w:hAnsiTheme="majorHAnsi"/>
          <w:sz w:val="24"/>
          <w:szCs w:val="24"/>
        </w:rPr>
        <w:t>kovy</w:t>
      </w:r>
      <w:r w:rsidR="002F456F" w:rsidRPr="0068270D">
        <w:rPr>
          <w:rFonts w:asciiTheme="majorHAnsi" w:hAnsiTheme="majorHAnsi"/>
          <w:sz w:val="24"/>
          <w:szCs w:val="24"/>
        </w:rPr>
        <w:t>,</w:t>
      </w:r>
    </w:p>
    <w:p w14:paraId="3F9837A0" w14:textId="77777777" w:rsidR="00E34A1D" w:rsidRDefault="00E34A1D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nebezpečné odpady</w:t>
      </w:r>
    </w:p>
    <w:p w14:paraId="4D9ABB42" w14:textId="77777777" w:rsidR="00E34A1D" w:rsidRDefault="00E34A1D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objemný odpad</w:t>
      </w:r>
    </w:p>
    <w:p w14:paraId="440EAD6A" w14:textId="77777777" w:rsidR="00A2425D" w:rsidRPr="0068270D" w:rsidRDefault="00E34A1D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jedlé </w:t>
      </w:r>
      <w:r w:rsidR="006237FE" w:rsidRPr="0068270D">
        <w:rPr>
          <w:rFonts w:asciiTheme="majorHAnsi" w:hAnsiTheme="majorHAnsi"/>
          <w:sz w:val="24"/>
          <w:szCs w:val="24"/>
        </w:rPr>
        <w:t>oleje a tuky</w:t>
      </w:r>
    </w:p>
    <w:p w14:paraId="021F9E91" w14:textId="77777777" w:rsidR="00A2425D" w:rsidRPr="0068270D" w:rsidRDefault="00A2425D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 w:rsidRPr="0068270D">
        <w:rPr>
          <w:rFonts w:asciiTheme="majorHAnsi" w:hAnsiTheme="majorHAnsi"/>
          <w:sz w:val="24"/>
          <w:szCs w:val="24"/>
        </w:rPr>
        <w:t>textil,</w:t>
      </w:r>
    </w:p>
    <w:p w14:paraId="1212D91A" w14:textId="77777777" w:rsidR="00E34A1D" w:rsidRDefault="002F456F" w:rsidP="001D132C">
      <w:pPr>
        <w:pStyle w:val="Zkladntext3"/>
        <w:widowControl w:val="0"/>
        <w:numPr>
          <w:ilvl w:val="0"/>
          <w:numId w:val="1"/>
        </w:numPr>
        <w:spacing w:before="40"/>
        <w:ind w:left="782" w:hanging="357"/>
        <w:outlineLvl w:val="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směsný komunální odpad.</w:t>
      </w:r>
    </w:p>
    <w:p w14:paraId="68C9C36A" w14:textId="77777777" w:rsidR="0057472F" w:rsidRPr="00E34A1D" w:rsidRDefault="0057472F" w:rsidP="0057472F">
      <w:pPr>
        <w:pStyle w:val="Zkladntext3"/>
        <w:widowControl w:val="0"/>
        <w:spacing w:before="40"/>
        <w:ind w:left="782"/>
        <w:outlineLvl w:val="9"/>
        <w:rPr>
          <w:rFonts w:asciiTheme="majorHAnsi" w:hAnsiTheme="majorHAnsi"/>
          <w:sz w:val="24"/>
          <w:szCs w:val="24"/>
        </w:rPr>
      </w:pPr>
    </w:p>
    <w:p w14:paraId="781F654E" w14:textId="77777777" w:rsidR="00E34A1D" w:rsidRPr="008F1E52" w:rsidRDefault="00E34A1D" w:rsidP="001D132C">
      <w:pPr>
        <w:pStyle w:val="Odstavecseseznamem"/>
        <w:widowControl w:val="0"/>
        <w:numPr>
          <w:ilvl w:val="0"/>
          <w:numId w:val="7"/>
        </w:numPr>
        <w:spacing w:before="60"/>
        <w:ind w:left="357" w:hanging="357"/>
        <w:jc w:val="both"/>
        <w:outlineLvl w:val="0"/>
        <w:rPr>
          <w:rFonts w:asciiTheme="majorHAnsi" w:hAnsiTheme="majorHAnsi"/>
          <w:sz w:val="24"/>
          <w:szCs w:val="24"/>
        </w:rPr>
      </w:pPr>
      <w:r w:rsidRPr="00E34A1D">
        <w:rPr>
          <w:rFonts w:asciiTheme="majorHAnsi" w:hAnsiTheme="majorHAnsi"/>
          <w:sz w:val="24"/>
          <w:szCs w:val="24"/>
        </w:rPr>
        <w:lastRenderedPageBreak/>
        <w:t>Směsným komunálním odpadem se rozumí zbylý komunální odpad po stanoveném</w:t>
      </w:r>
      <w:r>
        <w:rPr>
          <w:rFonts w:asciiTheme="majorHAnsi" w:hAnsiTheme="majorHAnsi"/>
          <w:sz w:val="24"/>
          <w:szCs w:val="24"/>
        </w:rPr>
        <w:t xml:space="preserve"> </w:t>
      </w:r>
      <w:r w:rsidRPr="00E34A1D">
        <w:rPr>
          <w:rFonts w:asciiTheme="majorHAnsi" w:hAnsiTheme="majorHAnsi"/>
          <w:sz w:val="24"/>
          <w:szCs w:val="24"/>
        </w:rPr>
        <w:t>vytřídění podle odstavce 1 písm. a), b), c), d), e), f), g), h) a i).</w:t>
      </w:r>
    </w:p>
    <w:p w14:paraId="677E4E48" w14:textId="77777777" w:rsidR="00BF06E9" w:rsidRDefault="00E34A1D" w:rsidP="001D132C">
      <w:pPr>
        <w:pStyle w:val="Odstavecseseznamem"/>
        <w:widowControl w:val="0"/>
        <w:numPr>
          <w:ilvl w:val="0"/>
          <w:numId w:val="7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E34A1D">
        <w:rPr>
          <w:rFonts w:asciiTheme="majorHAnsi" w:hAnsiTheme="majorHAnsi"/>
          <w:sz w:val="24"/>
          <w:szCs w:val="24"/>
        </w:rPr>
        <w:t>Objemný odpad je takový odpad, který vzhledem ke svým rozměrům nemůže být</w:t>
      </w:r>
      <w:r>
        <w:rPr>
          <w:rFonts w:asciiTheme="majorHAnsi" w:hAnsiTheme="majorHAnsi"/>
          <w:sz w:val="24"/>
          <w:szCs w:val="24"/>
        </w:rPr>
        <w:t xml:space="preserve"> </w:t>
      </w:r>
      <w:r w:rsidRPr="00E34A1D">
        <w:rPr>
          <w:rFonts w:asciiTheme="majorHAnsi" w:hAnsiTheme="majorHAnsi"/>
          <w:sz w:val="24"/>
          <w:szCs w:val="24"/>
        </w:rPr>
        <w:t>umístěn do sběrných nádob.</w:t>
      </w:r>
    </w:p>
    <w:p w14:paraId="295D7611" w14:textId="77777777" w:rsidR="008F1E52" w:rsidRDefault="008F1E52" w:rsidP="0057472F">
      <w:pPr>
        <w:pStyle w:val="Nadpis4"/>
        <w:keepNext w:val="0"/>
        <w:widowControl w:val="0"/>
        <w:spacing w:before="60"/>
        <w:jc w:val="left"/>
        <w:rPr>
          <w:rFonts w:asciiTheme="majorHAnsi" w:hAnsiTheme="majorHAnsi"/>
          <w:sz w:val="24"/>
          <w:szCs w:val="24"/>
        </w:rPr>
      </w:pPr>
    </w:p>
    <w:p w14:paraId="0187431F" w14:textId="77777777" w:rsidR="00E34A1D" w:rsidRPr="008956E9" w:rsidRDefault="00E34A1D" w:rsidP="00E34A1D">
      <w:pPr>
        <w:pStyle w:val="Nadpis4"/>
        <w:keepNext w:val="0"/>
        <w:widowContro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Článek 3</w:t>
      </w:r>
    </w:p>
    <w:p w14:paraId="3D26A0AD" w14:textId="77777777" w:rsidR="00E34A1D" w:rsidRPr="008956E9" w:rsidRDefault="00E34A1D" w:rsidP="00E34A1D">
      <w:pPr>
        <w:pStyle w:val="Nadpis4"/>
        <w:keepNext w:val="0"/>
        <w:widowContro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 w:cs="Arial-BoldMT"/>
          <w:bCs w:val="0"/>
          <w:sz w:val="24"/>
          <w:szCs w:val="24"/>
        </w:rPr>
        <w:t>Soustřeďování papíru, plastů, skla, kovů, biologického odpadu rostlinného původu,</w:t>
      </w:r>
    </w:p>
    <w:p w14:paraId="0DEEF155" w14:textId="77777777" w:rsidR="00E34A1D" w:rsidRPr="008956E9" w:rsidRDefault="00E34A1D" w:rsidP="008956E9">
      <w:pPr>
        <w:widowControl w:val="0"/>
        <w:jc w:val="center"/>
        <w:outlineLvl w:val="0"/>
        <w:rPr>
          <w:rFonts w:asciiTheme="majorHAnsi" w:hAnsiTheme="majorHAnsi"/>
          <w:b/>
          <w:sz w:val="24"/>
          <w:szCs w:val="24"/>
        </w:rPr>
      </w:pPr>
      <w:r w:rsidRPr="008956E9">
        <w:rPr>
          <w:rFonts w:asciiTheme="majorHAnsi" w:hAnsiTheme="majorHAnsi" w:cs="Arial-BoldMT"/>
          <w:b/>
          <w:bCs/>
          <w:sz w:val="24"/>
          <w:szCs w:val="24"/>
        </w:rPr>
        <w:t>jedlých olejů a tuků, textilu</w:t>
      </w:r>
    </w:p>
    <w:p w14:paraId="22ACF8B6" w14:textId="77777777" w:rsidR="008956E9" w:rsidRDefault="00E34A1D" w:rsidP="001D132C">
      <w:pPr>
        <w:pStyle w:val="Odstavecseseznamem"/>
        <w:widowControl w:val="0"/>
        <w:numPr>
          <w:ilvl w:val="0"/>
          <w:numId w:val="3"/>
        </w:numPr>
        <w:spacing w:before="120"/>
        <w:ind w:left="357" w:hanging="357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 xml:space="preserve">Papír, plasty, </w:t>
      </w:r>
      <w:r w:rsidR="008956E9" w:rsidRPr="008956E9">
        <w:rPr>
          <w:rFonts w:asciiTheme="majorHAnsi" w:hAnsiTheme="majorHAnsi"/>
          <w:sz w:val="24"/>
          <w:szCs w:val="24"/>
        </w:rPr>
        <w:t xml:space="preserve">bílé a barevné </w:t>
      </w:r>
      <w:r w:rsidRPr="008956E9">
        <w:rPr>
          <w:rFonts w:asciiTheme="majorHAnsi" w:hAnsiTheme="majorHAnsi"/>
          <w:sz w:val="24"/>
          <w:szCs w:val="24"/>
        </w:rPr>
        <w:t xml:space="preserve">sklo, kovy, biologické odpady rostlinného původu, jedlé oleje a tuky, textil se soustřeďují do zvláštních sběrných nádob, kterými jsou </w:t>
      </w:r>
      <w:r w:rsidR="008956E9">
        <w:rPr>
          <w:rFonts w:asciiTheme="majorHAnsi" w:hAnsiTheme="majorHAnsi"/>
          <w:sz w:val="24"/>
          <w:szCs w:val="24"/>
        </w:rPr>
        <w:t>kontejnery a velkoobjemové kontejnery na b</w:t>
      </w:r>
      <w:r w:rsidR="008956E9" w:rsidRPr="008956E9">
        <w:rPr>
          <w:rFonts w:asciiTheme="majorHAnsi" w:hAnsiTheme="majorHAnsi"/>
          <w:sz w:val="24"/>
          <w:szCs w:val="24"/>
        </w:rPr>
        <w:t>iologické odpady rostlinného původu</w:t>
      </w:r>
      <w:r w:rsidR="008956E9">
        <w:rPr>
          <w:rFonts w:asciiTheme="majorHAnsi" w:hAnsiTheme="majorHAnsi"/>
          <w:sz w:val="24"/>
          <w:szCs w:val="24"/>
        </w:rPr>
        <w:t>.</w:t>
      </w:r>
    </w:p>
    <w:p w14:paraId="60CE25BF" w14:textId="77777777" w:rsidR="008956E9" w:rsidRDefault="00E34A1D" w:rsidP="001D132C">
      <w:pPr>
        <w:pStyle w:val="Odstavecseseznamem"/>
        <w:widowControl w:val="0"/>
        <w:numPr>
          <w:ilvl w:val="0"/>
          <w:numId w:val="3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 xml:space="preserve">Zvláštní sběrné nádoby jsou umístěny na </w:t>
      </w:r>
      <w:r w:rsidR="008956E9">
        <w:rPr>
          <w:rFonts w:asciiTheme="majorHAnsi" w:hAnsiTheme="majorHAnsi"/>
          <w:sz w:val="24"/>
          <w:szCs w:val="24"/>
        </w:rPr>
        <w:t>stanovištích, jejichž umístění je specifikováno v příloze č. 1 a příloze č. 2 této OZV.</w:t>
      </w:r>
    </w:p>
    <w:p w14:paraId="5F8B031A" w14:textId="77777777" w:rsidR="00E34A1D" w:rsidRPr="008956E9" w:rsidRDefault="00E34A1D" w:rsidP="001D132C">
      <w:pPr>
        <w:pStyle w:val="Odstavecseseznamem"/>
        <w:widowControl w:val="0"/>
        <w:numPr>
          <w:ilvl w:val="0"/>
          <w:numId w:val="3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Zvláštní sběrné nádoby jsou barevně odlišeny a označeny příslušnými nápisy:</w:t>
      </w:r>
    </w:p>
    <w:p w14:paraId="7302D9CE" w14:textId="77777777" w:rsidR="008956E9" w:rsidRDefault="008956E9" w:rsidP="001D132C">
      <w:pPr>
        <w:pStyle w:val="Odstavecseseznamem"/>
        <w:widowControl w:val="0"/>
        <w:numPr>
          <w:ilvl w:val="1"/>
          <w:numId w:val="8"/>
        </w:numPr>
        <w:spacing w:before="60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</w:t>
      </w:r>
      <w:r w:rsidR="00E34A1D" w:rsidRPr="008956E9">
        <w:rPr>
          <w:rFonts w:asciiTheme="majorHAnsi" w:hAnsiTheme="majorHAnsi"/>
          <w:sz w:val="24"/>
          <w:szCs w:val="24"/>
        </w:rPr>
        <w:t xml:space="preserve">iologické odpady rostlinného původu, barva </w:t>
      </w:r>
      <w:r>
        <w:rPr>
          <w:rFonts w:asciiTheme="majorHAnsi" w:hAnsiTheme="majorHAnsi"/>
          <w:sz w:val="24"/>
          <w:szCs w:val="24"/>
        </w:rPr>
        <w:t>hnědá,</w:t>
      </w:r>
    </w:p>
    <w:p w14:paraId="4F6A9A1D" w14:textId="77777777" w:rsidR="008956E9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p</w:t>
      </w:r>
      <w:r w:rsidR="00E34A1D" w:rsidRPr="008956E9">
        <w:rPr>
          <w:rFonts w:asciiTheme="majorHAnsi" w:hAnsiTheme="majorHAnsi"/>
          <w:sz w:val="24"/>
          <w:szCs w:val="24"/>
        </w:rPr>
        <w:t xml:space="preserve">apír, barva </w:t>
      </w:r>
      <w:r w:rsidRPr="008956E9">
        <w:rPr>
          <w:rFonts w:asciiTheme="majorHAnsi" w:hAnsiTheme="majorHAnsi"/>
          <w:sz w:val="24"/>
          <w:szCs w:val="24"/>
        </w:rPr>
        <w:t>modrá</w:t>
      </w:r>
      <w:r w:rsidR="00E34A1D" w:rsidRPr="008956E9">
        <w:rPr>
          <w:rFonts w:asciiTheme="majorHAnsi" w:hAnsiTheme="majorHAnsi"/>
          <w:sz w:val="24"/>
          <w:szCs w:val="24"/>
        </w:rPr>
        <w:t>,</w:t>
      </w:r>
    </w:p>
    <w:p w14:paraId="47A72220" w14:textId="77777777" w:rsidR="008956E9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p</w:t>
      </w:r>
      <w:r w:rsidR="00E34A1D" w:rsidRPr="008956E9">
        <w:rPr>
          <w:rFonts w:asciiTheme="majorHAnsi" w:hAnsiTheme="majorHAnsi"/>
          <w:sz w:val="24"/>
          <w:szCs w:val="24"/>
        </w:rPr>
        <w:t>lasty, PET lahve</w:t>
      </w:r>
      <w:r w:rsidRPr="008956E9">
        <w:rPr>
          <w:rFonts w:asciiTheme="majorHAnsi" w:hAnsiTheme="majorHAnsi"/>
          <w:sz w:val="24"/>
          <w:szCs w:val="24"/>
        </w:rPr>
        <w:t xml:space="preserve"> a nápojové kartony</w:t>
      </w:r>
      <w:r w:rsidR="00E34A1D" w:rsidRPr="008956E9">
        <w:rPr>
          <w:rFonts w:asciiTheme="majorHAnsi" w:hAnsiTheme="majorHAnsi"/>
          <w:sz w:val="24"/>
          <w:szCs w:val="24"/>
        </w:rPr>
        <w:t xml:space="preserve">, barva </w:t>
      </w:r>
      <w:r w:rsidRPr="008956E9">
        <w:rPr>
          <w:rFonts w:asciiTheme="majorHAnsi" w:hAnsiTheme="majorHAnsi"/>
          <w:sz w:val="24"/>
          <w:szCs w:val="24"/>
        </w:rPr>
        <w:t>žlutá,</w:t>
      </w:r>
    </w:p>
    <w:p w14:paraId="71D50C6D" w14:textId="77777777" w:rsidR="008956E9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s</w:t>
      </w:r>
      <w:r w:rsidR="00E34A1D" w:rsidRPr="008956E9">
        <w:rPr>
          <w:rFonts w:asciiTheme="majorHAnsi" w:hAnsiTheme="majorHAnsi"/>
          <w:sz w:val="24"/>
          <w:szCs w:val="24"/>
        </w:rPr>
        <w:t>klo</w:t>
      </w:r>
      <w:r w:rsidRPr="008956E9">
        <w:rPr>
          <w:rFonts w:asciiTheme="majorHAnsi" w:hAnsiTheme="majorHAnsi"/>
          <w:sz w:val="24"/>
          <w:szCs w:val="24"/>
        </w:rPr>
        <w:t xml:space="preserve"> bílé</w:t>
      </w:r>
      <w:r w:rsidR="00E34A1D" w:rsidRPr="008956E9">
        <w:rPr>
          <w:rFonts w:asciiTheme="majorHAnsi" w:hAnsiTheme="majorHAnsi"/>
          <w:sz w:val="24"/>
          <w:szCs w:val="24"/>
        </w:rPr>
        <w:t xml:space="preserve">, barva </w:t>
      </w:r>
      <w:r w:rsidRPr="008956E9">
        <w:rPr>
          <w:rFonts w:asciiTheme="majorHAnsi" w:hAnsiTheme="majorHAnsi"/>
          <w:sz w:val="24"/>
          <w:szCs w:val="24"/>
        </w:rPr>
        <w:t>bílá,</w:t>
      </w:r>
    </w:p>
    <w:p w14:paraId="154A9388" w14:textId="77777777" w:rsidR="008956E9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sklo barevné, barva zelená,</w:t>
      </w:r>
    </w:p>
    <w:p w14:paraId="690A8B77" w14:textId="77777777" w:rsidR="008956E9" w:rsidRPr="00873113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k</w:t>
      </w:r>
      <w:r w:rsidR="00E34A1D" w:rsidRPr="008956E9">
        <w:rPr>
          <w:rFonts w:asciiTheme="majorHAnsi" w:hAnsiTheme="majorHAnsi"/>
          <w:sz w:val="24"/>
          <w:szCs w:val="24"/>
        </w:rPr>
        <w:t xml:space="preserve">ovy, barva </w:t>
      </w:r>
      <w:r>
        <w:rPr>
          <w:rFonts w:asciiTheme="majorHAnsi" w:hAnsiTheme="majorHAnsi"/>
          <w:sz w:val="24"/>
          <w:szCs w:val="24"/>
        </w:rPr>
        <w:t xml:space="preserve">šedá nebo </w:t>
      </w:r>
      <w:r w:rsidRPr="00873113">
        <w:rPr>
          <w:rFonts w:asciiTheme="majorHAnsi" w:hAnsiTheme="majorHAnsi"/>
          <w:sz w:val="24"/>
          <w:szCs w:val="24"/>
        </w:rPr>
        <w:t xml:space="preserve">popelnice </w:t>
      </w:r>
      <w:r w:rsidR="00E34A1D" w:rsidRPr="00873113">
        <w:rPr>
          <w:rFonts w:asciiTheme="majorHAnsi" w:hAnsiTheme="majorHAnsi"/>
          <w:sz w:val="24"/>
          <w:szCs w:val="24"/>
        </w:rPr>
        <w:t xml:space="preserve">s nápisem </w:t>
      </w:r>
      <w:r w:rsidR="00FA04F6">
        <w:rPr>
          <w:rFonts w:asciiTheme="majorHAnsi" w:hAnsiTheme="majorHAnsi"/>
          <w:sz w:val="24"/>
          <w:szCs w:val="24"/>
        </w:rPr>
        <w:t>„</w:t>
      </w:r>
      <w:r w:rsidRPr="00873113">
        <w:rPr>
          <w:rFonts w:asciiTheme="majorHAnsi" w:hAnsiTheme="majorHAnsi"/>
          <w:sz w:val="24"/>
          <w:szCs w:val="24"/>
        </w:rPr>
        <w:t>Kovový odpad</w:t>
      </w:r>
      <w:r w:rsidR="00FA04F6">
        <w:rPr>
          <w:rFonts w:asciiTheme="majorHAnsi" w:hAnsiTheme="majorHAnsi"/>
          <w:sz w:val="24"/>
          <w:szCs w:val="24"/>
        </w:rPr>
        <w:t>“</w:t>
      </w:r>
      <w:r w:rsidR="008F1E52" w:rsidRPr="00873113">
        <w:rPr>
          <w:rFonts w:asciiTheme="majorHAnsi" w:hAnsiTheme="majorHAnsi"/>
          <w:sz w:val="24"/>
          <w:szCs w:val="24"/>
        </w:rPr>
        <w:t>,</w:t>
      </w:r>
    </w:p>
    <w:p w14:paraId="549543DF" w14:textId="77777777" w:rsidR="008956E9" w:rsidRPr="00873113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73113">
        <w:rPr>
          <w:rFonts w:asciiTheme="majorHAnsi" w:hAnsiTheme="majorHAnsi"/>
          <w:sz w:val="24"/>
          <w:szCs w:val="24"/>
        </w:rPr>
        <w:t>j</w:t>
      </w:r>
      <w:r w:rsidR="00E34A1D" w:rsidRPr="00873113">
        <w:rPr>
          <w:rFonts w:asciiTheme="majorHAnsi" w:hAnsiTheme="majorHAnsi"/>
          <w:sz w:val="24"/>
          <w:szCs w:val="24"/>
        </w:rPr>
        <w:t xml:space="preserve">edlé oleje a tuky, </w:t>
      </w:r>
      <w:r w:rsidR="00256F81">
        <w:rPr>
          <w:rFonts w:asciiTheme="majorHAnsi" w:hAnsiTheme="majorHAnsi"/>
          <w:sz w:val="24"/>
          <w:szCs w:val="24"/>
        </w:rPr>
        <w:t xml:space="preserve">černý </w:t>
      </w:r>
      <w:r w:rsidR="00873113" w:rsidRPr="00873113">
        <w:rPr>
          <w:rFonts w:asciiTheme="majorHAnsi" w:hAnsiTheme="majorHAnsi"/>
          <w:sz w:val="24"/>
          <w:szCs w:val="24"/>
        </w:rPr>
        <w:t xml:space="preserve">kontejner s nápisem </w:t>
      </w:r>
      <w:r w:rsidR="00FA04F6">
        <w:rPr>
          <w:rFonts w:asciiTheme="majorHAnsi" w:hAnsiTheme="majorHAnsi"/>
          <w:sz w:val="24"/>
          <w:szCs w:val="24"/>
        </w:rPr>
        <w:t>„</w:t>
      </w:r>
      <w:r w:rsidR="00256F81">
        <w:rPr>
          <w:rFonts w:asciiTheme="majorHAnsi" w:hAnsiTheme="majorHAnsi"/>
          <w:sz w:val="24"/>
          <w:szCs w:val="24"/>
        </w:rPr>
        <w:t>Likvidace použitého oleje a tuku</w:t>
      </w:r>
      <w:r w:rsidR="00FA04F6">
        <w:rPr>
          <w:rFonts w:asciiTheme="majorHAnsi" w:hAnsiTheme="majorHAnsi"/>
          <w:sz w:val="24"/>
          <w:szCs w:val="24"/>
        </w:rPr>
        <w:t>“</w:t>
      </w:r>
      <w:r w:rsidR="00256F81">
        <w:rPr>
          <w:rFonts w:asciiTheme="majorHAnsi" w:hAnsiTheme="majorHAnsi"/>
          <w:sz w:val="24"/>
          <w:szCs w:val="24"/>
        </w:rPr>
        <w:t xml:space="preserve"> a systém výměnných kbelíků na sběrném dvoře</w:t>
      </w:r>
      <w:r w:rsidR="00FA04F6">
        <w:rPr>
          <w:rFonts w:asciiTheme="majorHAnsi" w:hAnsiTheme="majorHAnsi"/>
          <w:sz w:val="24"/>
          <w:szCs w:val="24"/>
        </w:rPr>
        <w:t>,</w:t>
      </w:r>
    </w:p>
    <w:p w14:paraId="7D59B493" w14:textId="77777777" w:rsidR="00E34A1D" w:rsidRPr="00873113" w:rsidRDefault="008956E9" w:rsidP="001D132C">
      <w:pPr>
        <w:pStyle w:val="Odstavecseseznamem"/>
        <w:widowControl w:val="0"/>
        <w:numPr>
          <w:ilvl w:val="1"/>
          <w:numId w:val="8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73113">
        <w:rPr>
          <w:rFonts w:asciiTheme="majorHAnsi" w:hAnsiTheme="majorHAnsi"/>
          <w:sz w:val="24"/>
          <w:szCs w:val="24"/>
        </w:rPr>
        <w:t>t</w:t>
      </w:r>
      <w:r w:rsidR="00E34A1D" w:rsidRPr="00873113">
        <w:rPr>
          <w:rFonts w:asciiTheme="majorHAnsi" w:hAnsiTheme="majorHAnsi"/>
          <w:sz w:val="24"/>
          <w:szCs w:val="24"/>
        </w:rPr>
        <w:t>extil, barva</w:t>
      </w:r>
      <w:r w:rsidRPr="00873113">
        <w:rPr>
          <w:rFonts w:asciiTheme="majorHAnsi" w:hAnsiTheme="majorHAnsi"/>
          <w:sz w:val="24"/>
          <w:szCs w:val="24"/>
        </w:rPr>
        <w:t xml:space="preserve"> bílá s nápisem </w:t>
      </w:r>
      <w:r w:rsidR="00FA04F6">
        <w:rPr>
          <w:rFonts w:asciiTheme="majorHAnsi" w:hAnsiTheme="majorHAnsi"/>
          <w:sz w:val="24"/>
          <w:szCs w:val="24"/>
        </w:rPr>
        <w:t>„Sběr oděvů, obuvi a textilu“</w:t>
      </w:r>
      <w:r w:rsidR="008F1E52" w:rsidRPr="00873113">
        <w:rPr>
          <w:rFonts w:asciiTheme="majorHAnsi" w:hAnsiTheme="majorHAnsi"/>
          <w:sz w:val="24"/>
          <w:szCs w:val="24"/>
        </w:rPr>
        <w:t>.</w:t>
      </w:r>
    </w:p>
    <w:p w14:paraId="75716130" w14:textId="77777777" w:rsidR="008956E9" w:rsidRDefault="00E34A1D" w:rsidP="001D132C">
      <w:pPr>
        <w:pStyle w:val="Odstavecseseznamem"/>
        <w:widowControl w:val="0"/>
        <w:numPr>
          <w:ilvl w:val="0"/>
          <w:numId w:val="3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Do zvláštních sběrných nádob je zakázáno ukládat jiné složky komunálních odpadů, než</w:t>
      </w:r>
      <w:r w:rsidR="008956E9">
        <w:rPr>
          <w:rFonts w:asciiTheme="majorHAnsi" w:hAnsiTheme="majorHAnsi"/>
          <w:sz w:val="24"/>
          <w:szCs w:val="24"/>
        </w:rPr>
        <w:t xml:space="preserve"> </w:t>
      </w:r>
      <w:r w:rsidRPr="008956E9">
        <w:rPr>
          <w:rFonts w:asciiTheme="majorHAnsi" w:hAnsiTheme="majorHAnsi"/>
          <w:sz w:val="24"/>
          <w:szCs w:val="24"/>
        </w:rPr>
        <w:t>pro které jsou určeny.</w:t>
      </w:r>
    </w:p>
    <w:p w14:paraId="19AA5CF6" w14:textId="77777777" w:rsidR="008F1E52" w:rsidRDefault="00E34A1D" w:rsidP="001D132C">
      <w:pPr>
        <w:pStyle w:val="Odstavecseseznamem"/>
        <w:widowControl w:val="0"/>
        <w:numPr>
          <w:ilvl w:val="0"/>
          <w:numId w:val="3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Zvláštní sběrné nádoby je povinnost plnit tak, aby je bylo možno uzavřít a odpad z</w:t>
      </w:r>
      <w:r w:rsidR="008956E9">
        <w:rPr>
          <w:rFonts w:asciiTheme="majorHAnsi" w:hAnsiTheme="majorHAnsi"/>
          <w:sz w:val="24"/>
          <w:szCs w:val="24"/>
        </w:rPr>
        <w:t> </w:t>
      </w:r>
      <w:r w:rsidRPr="008956E9">
        <w:rPr>
          <w:rFonts w:asciiTheme="majorHAnsi" w:hAnsiTheme="majorHAnsi"/>
          <w:sz w:val="24"/>
          <w:szCs w:val="24"/>
        </w:rPr>
        <w:t>nich</w:t>
      </w:r>
      <w:r w:rsidR="008956E9">
        <w:rPr>
          <w:rFonts w:asciiTheme="majorHAnsi" w:hAnsiTheme="majorHAnsi"/>
          <w:sz w:val="24"/>
          <w:szCs w:val="24"/>
        </w:rPr>
        <w:t xml:space="preserve"> </w:t>
      </w:r>
      <w:r w:rsidRPr="008956E9">
        <w:rPr>
          <w:rFonts w:asciiTheme="majorHAnsi" w:hAnsiTheme="majorHAnsi"/>
          <w:sz w:val="24"/>
          <w:szCs w:val="24"/>
        </w:rPr>
        <w:t>při manipulaci nevypadával. Pokud to umožňuje povaha odpadu, je nutno objem odpadu</w:t>
      </w:r>
      <w:r w:rsidR="008956E9">
        <w:rPr>
          <w:rFonts w:asciiTheme="majorHAnsi" w:hAnsiTheme="majorHAnsi"/>
          <w:sz w:val="24"/>
          <w:szCs w:val="24"/>
        </w:rPr>
        <w:t xml:space="preserve"> </w:t>
      </w:r>
      <w:r w:rsidRPr="008956E9">
        <w:rPr>
          <w:rFonts w:asciiTheme="majorHAnsi" w:hAnsiTheme="majorHAnsi"/>
          <w:sz w:val="24"/>
          <w:szCs w:val="24"/>
        </w:rPr>
        <w:t>před jeho odložením do sběrné nádoby minimalizovat</w:t>
      </w:r>
      <w:r w:rsidR="008956E9">
        <w:rPr>
          <w:rFonts w:asciiTheme="majorHAnsi" w:hAnsiTheme="majorHAnsi"/>
          <w:sz w:val="24"/>
          <w:szCs w:val="24"/>
        </w:rPr>
        <w:t xml:space="preserve"> (sešlápnout, složit apod.)</w:t>
      </w:r>
      <w:r w:rsidRPr="008956E9">
        <w:rPr>
          <w:rFonts w:asciiTheme="majorHAnsi" w:hAnsiTheme="majorHAnsi"/>
          <w:sz w:val="24"/>
          <w:szCs w:val="24"/>
        </w:rPr>
        <w:t>.</w:t>
      </w:r>
    </w:p>
    <w:p w14:paraId="37BCF9D9" w14:textId="77777777" w:rsidR="005232F3" w:rsidRPr="008F1E52" w:rsidRDefault="008F1E52" w:rsidP="001D132C">
      <w:pPr>
        <w:pStyle w:val="Odstavecseseznamem"/>
        <w:widowControl w:val="0"/>
        <w:numPr>
          <w:ilvl w:val="0"/>
          <w:numId w:val="3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F1E52">
        <w:rPr>
          <w:rFonts w:asciiTheme="majorHAnsi" w:hAnsiTheme="majorHAnsi"/>
          <w:sz w:val="24"/>
          <w:szCs w:val="24"/>
        </w:rPr>
        <w:t>Papír, plasty, sklo, kovy</w:t>
      </w:r>
      <w:r>
        <w:rPr>
          <w:rFonts w:asciiTheme="majorHAnsi" w:hAnsiTheme="majorHAnsi"/>
          <w:sz w:val="24"/>
          <w:szCs w:val="24"/>
        </w:rPr>
        <w:t xml:space="preserve">, </w:t>
      </w:r>
      <w:r w:rsidRPr="008F1E52">
        <w:rPr>
          <w:rFonts w:asciiTheme="majorHAnsi" w:hAnsiTheme="majorHAnsi"/>
          <w:sz w:val="24"/>
          <w:szCs w:val="24"/>
        </w:rPr>
        <w:t xml:space="preserve">jedlé oleje a tuky </w:t>
      </w:r>
      <w:r w:rsidR="00E34A1D" w:rsidRPr="008F1E52">
        <w:rPr>
          <w:rFonts w:asciiTheme="majorHAnsi" w:hAnsiTheme="majorHAnsi"/>
          <w:sz w:val="24"/>
          <w:szCs w:val="24"/>
        </w:rPr>
        <w:t>lze také</w:t>
      </w:r>
      <w:r w:rsidRPr="008F1E52">
        <w:rPr>
          <w:rFonts w:asciiTheme="majorHAnsi" w:hAnsiTheme="majorHAnsi"/>
          <w:sz w:val="24"/>
          <w:szCs w:val="24"/>
        </w:rPr>
        <w:t xml:space="preserve"> </w:t>
      </w:r>
      <w:r w:rsidR="00E34A1D" w:rsidRPr="008F1E52">
        <w:rPr>
          <w:rFonts w:asciiTheme="majorHAnsi" w:hAnsiTheme="majorHAnsi"/>
          <w:sz w:val="24"/>
          <w:szCs w:val="24"/>
        </w:rPr>
        <w:t>odevzdávat ve sběrném dvoře, který je umístěn</w:t>
      </w:r>
      <w:r w:rsidRPr="008F1E52">
        <w:rPr>
          <w:rFonts w:asciiTheme="majorHAnsi" w:hAnsiTheme="majorHAnsi"/>
          <w:sz w:val="24"/>
          <w:szCs w:val="24"/>
        </w:rPr>
        <w:t>ý</w:t>
      </w:r>
      <w:r w:rsidR="00E34A1D" w:rsidRPr="008F1E52">
        <w:rPr>
          <w:rFonts w:asciiTheme="majorHAnsi" w:hAnsiTheme="majorHAnsi"/>
          <w:sz w:val="24"/>
          <w:szCs w:val="24"/>
        </w:rPr>
        <w:t xml:space="preserve"> </w:t>
      </w:r>
      <w:r w:rsidRPr="008F1E52">
        <w:rPr>
          <w:rFonts w:asciiTheme="majorHAnsi" w:hAnsiTheme="majorHAnsi"/>
          <w:sz w:val="24"/>
          <w:szCs w:val="24"/>
        </w:rPr>
        <w:t>na ulici B. Němcové (GPS souřadnice 49.</w:t>
      </w:r>
      <w:proofErr w:type="gramStart"/>
      <w:r w:rsidRPr="008F1E52">
        <w:rPr>
          <w:rFonts w:asciiTheme="majorHAnsi" w:hAnsiTheme="majorHAnsi"/>
          <w:sz w:val="24"/>
          <w:szCs w:val="24"/>
        </w:rPr>
        <w:t>2464600N</w:t>
      </w:r>
      <w:proofErr w:type="gramEnd"/>
      <w:r w:rsidRPr="008F1E52">
        <w:rPr>
          <w:rFonts w:asciiTheme="majorHAnsi" w:hAnsiTheme="majorHAnsi"/>
          <w:sz w:val="24"/>
          <w:szCs w:val="24"/>
        </w:rPr>
        <w:t>, 15.7633733E</w:t>
      </w:r>
      <w:r>
        <w:rPr>
          <w:rFonts w:asciiTheme="majorHAnsi" w:hAnsiTheme="majorHAnsi"/>
          <w:sz w:val="24"/>
          <w:szCs w:val="24"/>
        </w:rPr>
        <w:t>).</w:t>
      </w:r>
    </w:p>
    <w:p w14:paraId="67C9C150" w14:textId="77777777" w:rsidR="008A2C2D" w:rsidRPr="008956E9" w:rsidRDefault="0021693D" w:rsidP="001D132C">
      <w:pPr>
        <w:pStyle w:val="Odstavecseseznamem"/>
        <w:widowControl w:val="0"/>
        <w:numPr>
          <w:ilvl w:val="0"/>
          <w:numId w:val="3"/>
        </w:numPr>
        <w:spacing w:before="60"/>
        <w:ind w:left="425" w:hanging="425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956E9">
        <w:rPr>
          <w:rFonts w:asciiTheme="majorHAnsi" w:hAnsiTheme="majorHAnsi"/>
          <w:sz w:val="24"/>
          <w:szCs w:val="24"/>
        </w:rPr>
        <w:t>Biologi</w:t>
      </w:r>
      <w:r w:rsidR="008F1E52">
        <w:rPr>
          <w:rFonts w:asciiTheme="majorHAnsi" w:hAnsiTheme="majorHAnsi"/>
          <w:sz w:val="24"/>
          <w:szCs w:val="24"/>
        </w:rPr>
        <w:t>cké odpady</w:t>
      </w:r>
      <w:r w:rsidR="006237FE" w:rsidRPr="008956E9">
        <w:rPr>
          <w:rFonts w:asciiTheme="majorHAnsi" w:hAnsiTheme="majorHAnsi"/>
          <w:sz w:val="24"/>
          <w:szCs w:val="24"/>
        </w:rPr>
        <w:t xml:space="preserve"> </w:t>
      </w:r>
      <w:r w:rsidR="008F1E52" w:rsidRPr="008956E9">
        <w:rPr>
          <w:rFonts w:asciiTheme="majorHAnsi" w:hAnsiTheme="majorHAnsi"/>
          <w:sz w:val="24"/>
          <w:szCs w:val="24"/>
        </w:rPr>
        <w:t xml:space="preserve">rostlinného původu </w:t>
      </w:r>
      <w:r w:rsidR="00A2425D" w:rsidRPr="008956E9">
        <w:rPr>
          <w:rFonts w:asciiTheme="majorHAnsi" w:hAnsiTheme="majorHAnsi"/>
          <w:sz w:val="24"/>
          <w:szCs w:val="24"/>
        </w:rPr>
        <w:t xml:space="preserve">lze také odevzdávat do velkoobjemových kontejnerů před </w:t>
      </w:r>
      <w:r w:rsidR="008A2C2D" w:rsidRPr="008956E9">
        <w:rPr>
          <w:rFonts w:asciiTheme="majorHAnsi" w:hAnsiTheme="majorHAnsi"/>
          <w:sz w:val="24"/>
          <w:szCs w:val="24"/>
        </w:rPr>
        <w:t>sběrný</w:t>
      </w:r>
      <w:r w:rsidR="00A2425D" w:rsidRPr="008956E9">
        <w:rPr>
          <w:rFonts w:asciiTheme="majorHAnsi" w:hAnsiTheme="majorHAnsi"/>
          <w:sz w:val="24"/>
          <w:szCs w:val="24"/>
        </w:rPr>
        <w:t>m dvorem</w:t>
      </w:r>
      <w:r w:rsidR="008A2C2D" w:rsidRPr="008956E9">
        <w:rPr>
          <w:rFonts w:asciiTheme="majorHAnsi" w:hAnsiTheme="majorHAnsi"/>
          <w:sz w:val="24"/>
          <w:szCs w:val="24"/>
        </w:rPr>
        <w:t xml:space="preserve"> v Okříškách na ulici B. Němcové označených tabulkami:</w:t>
      </w:r>
    </w:p>
    <w:p w14:paraId="4209FED7" w14:textId="77777777" w:rsidR="008A2C2D" w:rsidRPr="008956E9" w:rsidRDefault="00A2425D" w:rsidP="001D132C">
      <w:pPr>
        <w:pStyle w:val="Zkladntext2"/>
        <w:widowControl w:val="0"/>
        <w:numPr>
          <w:ilvl w:val="0"/>
          <w:numId w:val="4"/>
        </w:numPr>
        <w:spacing w:before="60" w:after="0" w:line="240" w:lineRule="auto"/>
        <w:ind w:left="782" w:hanging="357"/>
        <w:jc w:val="both"/>
        <w:rPr>
          <w:rFonts w:asciiTheme="majorHAnsi" w:hAnsiTheme="majorHAnsi"/>
          <w:bCs/>
          <w:sz w:val="24"/>
          <w:szCs w:val="24"/>
        </w:rPr>
      </w:pPr>
      <w:r w:rsidRPr="008956E9">
        <w:rPr>
          <w:rFonts w:asciiTheme="majorHAnsi" w:hAnsiTheme="majorHAnsi"/>
          <w:bCs/>
          <w:sz w:val="24"/>
          <w:szCs w:val="24"/>
        </w:rPr>
        <w:t>kontejner</w:t>
      </w:r>
      <w:r w:rsidR="008A2C2D" w:rsidRPr="008956E9">
        <w:rPr>
          <w:rFonts w:asciiTheme="majorHAnsi" w:hAnsiTheme="majorHAnsi"/>
          <w:bCs/>
          <w:sz w:val="24"/>
          <w:szCs w:val="24"/>
        </w:rPr>
        <w:t xml:space="preserve"> pro ukládání </w:t>
      </w:r>
      <w:r w:rsidR="00966081" w:rsidRPr="008956E9">
        <w:rPr>
          <w:rFonts w:asciiTheme="majorHAnsi" w:hAnsiTheme="majorHAnsi"/>
          <w:bCs/>
          <w:sz w:val="24"/>
          <w:szCs w:val="24"/>
        </w:rPr>
        <w:t>trávy, natě, lupení,</w:t>
      </w:r>
    </w:p>
    <w:p w14:paraId="148263B6" w14:textId="77777777" w:rsidR="00966081" w:rsidRPr="008956E9" w:rsidRDefault="00A2425D" w:rsidP="001D132C">
      <w:pPr>
        <w:pStyle w:val="Zkladntext2"/>
        <w:widowControl w:val="0"/>
        <w:numPr>
          <w:ilvl w:val="0"/>
          <w:numId w:val="4"/>
        </w:numPr>
        <w:spacing w:before="40" w:after="0" w:line="240" w:lineRule="auto"/>
        <w:ind w:left="782" w:hanging="357"/>
        <w:jc w:val="both"/>
        <w:rPr>
          <w:rFonts w:asciiTheme="majorHAnsi" w:hAnsiTheme="majorHAnsi"/>
          <w:bCs/>
          <w:sz w:val="24"/>
          <w:szCs w:val="24"/>
        </w:rPr>
      </w:pPr>
      <w:r w:rsidRPr="008956E9">
        <w:rPr>
          <w:rFonts w:asciiTheme="majorHAnsi" w:hAnsiTheme="majorHAnsi"/>
          <w:bCs/>
          <w:sz w:val="24"/>
          <w:szCs w:val="24"/>
        </w:rPr>
        <w:t>kontejner</w:t>
      </w:r>
      <w:r w:rsidR="008A2C2D" w:rsidRPr="008956E9">
        <w:rPr>
          <w:rFonts w:asciiTheme="majorHAnsi" w:hAnsiTheme="majorHAnsi"/>
          <w:bCs/>
          <w:sz w:val="24"/>
          <w:szCs w:val="24"/>
        </w:rPr>
        <w:t xml:space="preserve"> pro ukládání </w:t>
      </w:r>
      <w:r w:rsidR="00966081" w:rsidRPr="008956E9">
        <w:rPr>
          <w:rFonts w:asciiTheme="majorHAnsi" w:hAnsiTheme="majorHAnsi"/>
          <w:bCs/>
          <w:sz w:val="24"/>
          <w:szCs w:val="24"/>
        </w:rPr>
        <w:t>větví</w:t>
      </w:r>
      <w:r w:rsidR="008A2C2D" w:rsidRPr="008956E9">
        <w:rPr>
          <w:rFonts w:asciiTheme="majorHAnsi" w:hAnsiTheme="majorHAnsi"/>
          <w:bCs/>
          <w:sz w:val="24"/>
          <w:szCs w:val="24"/>
        </w:rPr>
        <w:t xml:space="preserve"> ze stromů a keřů</w:t>
      </w:r>
      <w:r w:rsidRPr="008956E9">
        <w:rPr>
          <w:rFonts w:asciiTheme="majorHAnsi" w:hAnsiTheme="majorHAnsi"/>
          <w:bCs/>
          <w:sz w:val="24"/>
          <w:szCs w:val="24"/>
        </w:rPr>
        <w:t>.</w:t>
      </w:r>
    </w:p>
    <w:p w14:paraId="6937FC48" w14:textId="77777777" w:rsidR="00A2425D" w:rsidRPr="00C35B4D" w:rsidRDefault="00A2425D" w:rsidP="0057472F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3D634B8" w14:textId="77777777" w:rsidR="008A2C2D" w:rsidRPr="00C35B4D" w:rsidRDefault="008A2C2D" w:rsidP="00C256C7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C35B4D">
        <w:rPr>
          <w:rFonts w:asciiTheme="majorHAnsi" w:hAnsiTheme="majorHAnsi"/>
          <w:b/>
          <w:bCs/>
          <w:sz w:val="24"/>
          <w:szCs w:val="24"/>
        </w:rPr>
        <w:t>Článek 4</w:t>
      </w:r>
    </w:p>
    <w:p w14:paraId="6BB13329" w14:textId="77777777" w:rsidR="008A2C2D" w:rsidRPr="00C35B4D" w:rsidRDefault="008F1E52" w:rsidP="006C1D94">
      <w:pPr>
        <w:widowControl w:val="0"/>
        <w:jc w:val="center"/>
        <w:outlineLvl w:val="0"/>
        <w:rPr>
          <w:rFonts w:asciiTheme="majorHAnsi" w:hAnsiTheme="majorHAnsi"/>
          <w:b/>
          <w:bCs/>
          <w:sz w:val="24"/>
          <w:szCs w:val="24"/>
        </w:rPr>
      </w:pPr>
      <w:r w:rsidRPr="008956E9">
        <w:rPr>
          <w:rFonts w:asciiTheme="majorHAnsi" w:hAnsiTheme="majorHAnsi" w:cs="Arial-BoldMT"/>
          <w:b/>
          <w:bCs/>
          <w:sz w:val="24"/>
          <w:szCs w:val="24"/>
        </w:rPr>
        <w:t>Soustřeďování</w:t>
      </w:r>
      <w:r w:rsidRPr="008F1E52">
        <w:rPr>
          <w:rFonts w:asciiTheme="majorHAnsi" w:hAnsiTheme="majorHAnsi"/>
          <w:b/>
          <w:bCs/>
          <w:sz w:val="24"/>
          <w:szCs w:val="24"/>
        </w:rPr>
        <w:t xml:space="preserve"> nebezpečných složek komunálního odpadu</w:t>
      </w:r>
    </w:p>
    <w:p w14:paraId="08048E34" w14:textId="77777777" w:rsidR="008F1E52" w:rsidRPr="008F1E52" w:rsidRDefault="008F1E52" w:rsidP="001D132C">
      <w:pPr>
        <w:pStyle w:val="Odstavecseseznamem"/>
        <w:widowControl w:val="0"/>
        <w:numPr>
          <w:ilvl w:val="0"/>
          <w:numId w:val="9"/>
        </w:numPr>
        <w:spacing w:before="120"/>
        <w:ind w:left="357" w:hanging="357"/>
        <w:contextualSpacing w:val="0"/>
        <w:jc w:val="both"/>
        <w:outlineLvl w:val="0"/>
        <w:rPr>
          <w:rFonts w:asciiTheme="majorHAnsi" w:hAnsiTheme="majorHAnsi"/>
          <w:bCs/>
          <w:sz w:val="24"/>
          <w:szCs w:val="24"/>
        </w:rPr>
      </w:pPr>
      <w:r w:rsidRPr="008F1E52">
        <w:rPr>
          <w:rFonts w:asciiTheme="majorHAnsi" w:hAnsiTheme="majorHAnsi"/>
          <w:bCs/>
          <w:sz w:val="24"/>
          <w:szCs w:val="24"/>
        </w:rPr>
        <w:t xml:space="preserve">Nebezpečné složky komunálního odpadu se soustřeďují do zvláštních kontejnerů ve sběrném dvoře, </w:t>
      </w:r>
      <w:r w:rsidRPr="008F1E52">
        <w:rPr>
          <w:rFonts w:asciiTheme="majorHAnsi" w:hAnsiTheme="majorHAnsi"/>
          <w:sz w:val="24"/>
          <w:szCs w:val="24"/>
        </w:rPr>
        <w:t>na ulici B. Němcové (GPS souřadnice 49.</w:t>
      </w:r>
      <w:proofErr w:type="gramStart"/>
      <w:r w:rsidRPr="008F1E52">
        <w:rPr>
          <w:rFonts w:asciiTheme="majorHAnsi" w:hAnsiTheme="majorHAnsi"/>
          <w:sz w:val="24"/>
          <w:szCs w:val="24"/>
        </w:rPr>
        <w:t>2464600N</w:t>
      </w:r>
      <w:proofErr w:type="gramEnd"/>
      <w:r w:rsidRPr="008F1E52">
        <w:rPr>
          <w:rFonts w:asciiTheme="majorHAnsi" w:hAnsiTheme="majorHAnsi"/>
          <w:sz w:val="24"/>
          <w:szCs w:val="24"/>
        </w:rPr>
        <w:t>, 15.7633733E).</w:t>
      </w:r>
    </w:p>
    <w:p w14:paraId="31D0205B" w14:textId="77777777" w:rsidR="008A2C2D" w:rsidRPr="008F1E52" w:rsidRDefault="008F1E52" w:rsidP="001D132C">
      <w:pPr>
        <w:pStyle w:val="Odstavecseseznamem"/>
        <w:widowControl w:val="0"/>
        <w:numPr>
          <w:ilvl w:val="0"/>
          <w:numId w:val="9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bCs/>
          <w:sz w:val="24"/>
          <w:szCs w:val="24"/>
        </w:rPr>
      </w:pPr>
      <w:r w:rsidRPr="008F1E52">
        <w:rPr>
          <w:rFonts w:asciiTheme="majorHAnsi" w:hAnsiTheme="majorHAnsi"/>
          <w:bCs/>
          <w:sz w:val="24"/>
          <w:szCs w:val="24"/>
        </w:rPr>
        <w:t>Soustřeďování nebezpečných složek komunálního odpadu podléhá požadavkům</w:t>
      </w:r>
      <w:r>
        <w:rPr>
          <w:rFonts w:asciiTheme="majorHAnsi" w:hAnsiTheme="majorHAnsi"/>
          <w:bCs/>
          <w:sz w:val="24"/>
          <w:szCs w:val="24"/>
        </w:rPr>
        <w:t xml:space="preserve"> stanoveným v čl. 3 odst. 4 a 5</w:t>
      </w:r>
      <w:r w:rsidR="008A2C2D" w:rsidRPr="008F1E52">
        <w:rPr>
          <w:rFonts w:asciiTheme="majorHAnsi" w:hAnsiTheme="majorHAnsi"/>
          <w:bCs/>
          <w:sz w:val="24"/>
          <w:szCs w:val="24"/>
        </w:rPr>
        <w:t>.</w:t>
      </w:r>
      <w:r w:rsidR="008A2C2D" w:rsidRPr="008F1E52">
        <w:rPr>
          <w:rFonts w:asciiTheme="majorHAnsi" w:hAnsiTheme="majorHAnsi"/>
          <w:sz w:val="24"/>
          <w:szCs w:val="24"/>
        </w:rPr>
        <w:t xml:space="preserve"> </w:t>
      </w:r>
    </w:p>
    <w:p w14:paraId="18761722" w14:textId="77777777" w:rsidR="00003545" w:rsidRPr="00C35B4D" w:rsidRDefault="00003545" w:rsidP="0057472F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05621F30" w14:textId="0FB4F37B" w:rsidR="00446518" w:rsidRPr="001A7A0D" w:rsidRDefault="008A2C2D" w:rsidP="00C256C7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Článek 5</w:t>
      </w:r>
    </w:p>
    <w:p w14:paraId="205331E2" w14:textId="77777777" w:rsidR="00446518" w:rsidRPr="001A7A0D" w:rsidRDefault="008F1E52" w:rsidP="006C1D94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8956E9">
        <w:rPr>
          <w:rFonts w:asciiTheme="majorHAnsi" w:hAnsiTheme="majorHAnsi" w:cs="Arial-BoldMT"/>
          <w:b/>
          <w:bCs/>
          <w:sz w:val="24"/>
          <w:szCs w:val="24"/>
        </w:rPr>
        <w:t>Soustřeďování</w:t>
      </w:r>
      <w:r w:rsidRPr="008F1E52">
        <w:rPr>
          <w:rFonts w:asciiTheme="majorHAnsi" w:hAnsiTheme="majorHAnsi"/>
          <w:b/>
          <w:bCs/>
          <w:sz w:val="24"/>
          <w:szCs w:val="24"/>
        </w:rPr>
        <w:t xml:space="preserve"> objemného odpadu</w:t>
      </w:r>
    </w:p>
    <w:p w14:paraId="32AD5C7B" w14:textId="77777777" w:rsidR="008F1E52" w:rsidRDefault="008F1E52" w:rsidP="001D132C">
      <w:pPr>
        <w:pStyle w:val="Odstavecseseznamem"/>
        <w:widowControl w:val="0"/>
        <w:numPr>
          <w:ilvl w:val="0"/>
          <w:numId w:val="10"/>
        </w:numPr>
        <w:spacing w:before="120"/>
        <w:ind w:left="357" w:hanging="357"/>
        <w:jc w:val="both"/>
        <w:outlineLvl w:val="0"/>
        <w:rPr>
          <w:rFonts w:asciiTheme="majorHAnsi" w:hAnsiTheme="majorHAnsi"/>
          <w:sz w:val="24"/>
          <w:szCs w:val="24"/>
        </w:rPr>
      </w:pPr>
      <w:r w:rsidRPr="008F1E52">
        <w:rPr>
          <w:rFonts w:asciiTheme="majorHAnsi" w:hAnsiTheme="majorHAnsi"/>
          <w:sz w:val="24"/>
          <w:szCs w:val="24"/>
        </w:rPr>
        <w:t xml:space="preserve">Objemný odpad </w:t>
      </w:r>
      <w:r w:rsidRPr="008F1E52">
        <w:rPr>
          <w:rFonts w:asciiTheme="majorHAnsi" w:hAnsiTheme="majorHAnsi"/>
          <w:bCs/>
          <w:sz w:val="24"/>
          <w:szCs w:val="24"/>
        </w:rPr>
        <w:t xml:space="preserve">se soustřeďují do zvláštních kontejnerů ve sběrném dvoře, </w:t>
      </w:r>
      <w:r w:rsidRPr="008F1E52">
        <w:rPr>
          <w:rFonts w:asciiTheme="majorHAnsi" w:hAnsiTheme="majorHAnsi"/>
          <w:sz w:val="24"/>
          <w:szCs w:val="24"/>
        </w:rPr>
        <w:t>na ulici B. Němcové (GPS souřadnice 49.</w:t>
      </w:r>
      <w:proofErr w:type="gramStart"/>
      <w:r w:rsidRPr="008F1E52">
        <w:rPr>
          <w:rFonts w:asciiTheme="majorHAnsi" w:hAnsiTheme="majorHAnsi"/>
          <w:sz w:val="24"/>
          <w:szCs w:val="24"/>
        </w:rPr>
        <w:t>2464600N</w:t>
      </w:r>
      <w:proofErr w:type="gramEnd"/>
      <w:r w:rsidRPr="008F1E52">
        <w:rPr>
          <w:rFonts w:asciiTheme="majorHAnsi" w:hAnsiTheme="majorHAnsi"/>
          <w:sz w:val="24"/>
          <w:szCs w:val="24"/>
        </w:rPr>
        <w:t>, 15.7633733E).</w:t>
      </w:r>
    </w:p>
    <w:p w14:paraId="3FC1A90F" w14:textId="77777777" w:rsidR="0021693D" w:rsidRPr="008F1E52" w:rsidRDefault="008F1E52" w:rsidP="001D132C">
      <w:pPr>
        <w:pStyle w:val="Odstavecseseznamem"/>
        <w:widowControl w:val="0"/>
        <w:numPr>
          <w:ilvl w:val="0"/>
          <w:numId w:val="10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F1E52">
        <w:rPr>
          <w:rFonts w:asciiTheme="majorHAnsi" w:hAnsiTheme="majorHAnsi"/>
          <w:sz w:val="24"/>
          <w:szCs w:val="24"/>
        </w:rPr>
        <w:lastRenderedPageBreak/>
        <w:t>Soustřeďování objemného odpadu podléhá požadavkům stanoveným v čl. 3 odst. 4 a 5.</w:t>
      </w:r>
    </w:p>
    <w:p w14:paraId="03D48333" w14:textId="77777777" w:rsidR="00FA04F6" w:rsidRPr="001A7A0D" w:rsidRDefault="00FA04F6" w:rsidP="0057472F">
      <w:pPr>
        <w:pStyle w:val="Zkladntext2"/>
        <w:widowControl w:val="0"/>
        <w:spacing w:before="60"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0AB9E2A5" w14:textId="77777777" w:rsidR="003A76E9" w:rsidRPr="001A7A0D" w:rsidRDefault="001A7A0D" w:rsidP="00C256C7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Článek</w:t>
      </w:r>
      <w:r w:rsidR="00446518" w:rsidRPr="001A7A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A85304">
        <w:rPr>
          <w:rFonts w:asciiTheme="majorHAnsi" w:hAnsiTheme="majorHAnsi"/>
          <w:b/>
          <w:bCs/>
          <w:sz w:val="24"/>
          <w:szCs w:val="24"/>
        </w:rPr>
        <w:t>6</w:t>
      </w:r>
    </w:p>
    <w:p w14:paraId="18388060" w14:textId="77777777" w:rsidR="00CD05FF" w:rsidRPr="001A7A0D" w:rsidRDefault="001E5C08" w:rsidP="006C1D94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Cs/>
          <w:sz w:val="24"/>
          <w:szCs w:val="24"/>
        </w:rPr>
      </w:pPr>
      <w:r w:rsidRPr="001E5C08">
        <w:rPr>
          <w:rFonts w:asciiTheme="majorHAnsi" w:hAnsiTheme="majorHAnsi"/>
          <w:b/>
          <w:bCs/>
          <w:sz w:val="24"/>
          <w:szCs w:val="24"/>
        </w:rPr>
        <w:t>Soustřeďování směsného komunálního odpadu</w:t>
      </w:r>
    </w:p>
    <w:p w14:paraId="4AA1B1B3" w14:textId="77777777" w:rsidR="001E5C08" w:rsidRPr="001E5C08" w:rsidRDefault="001E5C08" w:rsidP="001E5C08">
      <w:pPr>
        <w:widowControl w:val="0"/>
        <w:spacing w:before="120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E5C08">
        <w:rPr>
          <w:rFonts w:asciiTheme="majorHAnsi" w:hAnsiTheme="majorHAnsi" w:cs="Arial"/>
          <w:sz w:val="24"/>
          <w:szCs w:val="24"/>
        </w:rPr>
        <w:t>1) Směsný komunální odpad se odkládá do sběrných nádob. Pro účely této vyhlášky se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1E5C08">
        <w:rPr>
          <w:rFonts w:asciiTheme="majorHAnsi" w:hAnsiTheme="majorHAnsi" w:cs="Arial"/>
          <w:sz w:val="24"/>
          <w:szCs w:val="24"/>
        </w:rPr>
        <w:t>sběrnými nádobami rozumějí:</w:t>
      </w:r>
    </w:p>
    <w:p w14:paraId="382AFD2A" w14:textId="77777777" w:rsidR="001E5C08" w:rsidRDefault="001E5C08" w:rsidP="001D132C">
      <w:pPr>
        <w:pStyle w:val="Odstavecseseznamem"/>
        <w:widowControl w:val="0"/>
        <w:numPr>
          <w:ilvl w:val="1"/>
          <w:numId w:val="11"/>
        </w:numPr>
        <w:spacing w:before="60"/>
        <w:ind w:left="714" w:hanging="357"/>
        <w:contextualSpacing w:val="0"/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p</w:t>
      </w:r>
      <w:r w:rsidRPr="001E5C08">
        <w:rPr>
          <w:rFonts w:asciiTheme="majorHAnsi" w:hAnsiTheme="majorHAnsi" w:cs="Arial"/>
          <w:sz w:val="24"/>
          <w:szCs w:val="24"/>
        </w:rPr>
        <w:t>opelnice</w:t>
      </w:r>
      <w:r>
        <w:rPr>
          <w:rFonts w:asciiTheme="majorHAnsi" w:hAnsiTheme="majorHAnsi" w:cs="Arial"/>
          <w:sz w:val="24"/>
          <w:szCs w:val="24"/>
        </w:rPr>
        <w:t>,</w:t>
      </w:r>
    </w:p>
    <w:p w14:paraId="643F05A1" w14:textId="77777777" w:rsidR="001E5C08" w:rsidRDefault="001E5C08" w:rsidP="00256F81">
      <w:pPr>
        <w:pStyle w:val="Odstavecseseznamem"/>
        <w:widowControl w:val="0"/>
        <w:numPr>
          <w:ilvl w:val="1"/>
          <w:numId w:val="11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E5C08">
        <w:rPr>
          <w:rFonts w:asciiTheme="majorHAnsi" w:hAnsiTheme="majorHAnsi" w:cs="Arial"/>
          <w:sz w:val="24"/>
          <w:szCs w:val="24"/>
        </w:rPr>
        <w:t>velkoobjemové kontejnery (</w:t>
      </w:r>
      <w:r>
        <w:rPr>
          <w:rFonts w:asciiTheme="majorHAnsi" w:hAnsiTheme="majorHAnsi" w:cs="Arial"/>
          <w:sz w:val="24"/>
          <w:szCs w:val="24"/>
        </w:rPr>
        <w:t>u bytových domů</w:t>
      </w:r>
      <w:r w:rsidRPr="001E5C08">
        <w:rPr>
          <w:rFonts w:asciiTheme="majorHAnsi" w:hAnsiTheme="majorHAnsi" w:cs="Arial"/>
          <w:sz w:val="24"/>
          <w:szCs w:val="24"/>
        </w:rPr>
        <w:t>)</w:t>
      </w:r>
      <w:r>
        <w:rPr>
          <w:rFonts w:asciiTheme="majorHAnsi" w:hAnsiTheme="majorHAnsi" w:cs="Arial"/>
          <w:sz w:val="24"/>
          <w:szCs w:val="24"/>
        </w:rPr>
        <w:t>,</w:t>
      </w:r>
    </w:p>
    <w:p w14:paraId="60C7D55E" w14:textId="77777777" w:rsidR="001E5C08" w:rsidRPr="001E5C08" w:rsidRDefault="001E5C08" w:rsidP="00256F81">
      <w:pPr>
        <w:pStyle w:val="Odstavecseseznamem"/>
        <w:widowControl w:val="0"/>
        <w:numPr>
          <w:ilvl w:val="1"/>
          <w:numId w:val="11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E5C08">
        <w:rPr>
          <w:rFonts w:asciiTheme="majorHAnsi" w:hAnsiTheme="majorHAnsi" w:cs="Arial"/>
          <w:sz w:val="24"/>
          <w:szCs w:val="24"/>
        </w:rPr>
        <w:t>odpadkové koše, které jsou umístěny na veřejných prostranstvích v obci, sloužící pro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Pr="001E5C08">
        <w:rPr>
          <w:rFonts w:asciiTheme="majorHAnsi" w:hAnsiTheme="majorHAnsi" w:cs="Arial"/>
          <w:sz w:val="24"/>
          <w:szCs w:val="24"/>
        </w:rPr>
        <w:t>odkládání drobného směsného komunálního odpadu.</w:t>
      </w:r>
    </w:p>
    <w:p w14:paraId="6D5155DB" w14:textId="77777777" w:rsidR="008C254D" w:rsidRPr="00AE6C2F" w:rsidRDefault="001E5C08" w:rsidP="001D132C">
      <w:pPr>
        <w:pStyle w:val="Odstavecseseznamem"/>
        <w:widowControl w:val="0"/>
        <w:numPr>
          <w:ilvl w:val="0"/>
          <w:numId w:val="11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E5C08">
        <w:rPr>
          <w:rFonts w:asciiTheme="majorHAnsi" w:hAnsiTheme="majorHAnsi" w:cs="Arial"/>
          <w:sz w:val="24"/>
          <w:szCs w:val="24"/>
        </w:rPr>
        <w:t xml:space="preserve">Soustřeďování směsného </w:t>
      </w:r>
      <w:r w:rsidRPr="00AE6C2F">
        <w:rPr>
          <w:rFonts w:asciiTheme="majorHAnsi" w:hAnsiTheme="majorHAnsi" w:cs="Arial"/>
          <w:sz w:val="24"/>
          <w:szCs w:val="24"/>
        </w:rPr>
        <w:t>komunálního odpadu podléhá požadavkům stanoveným v čl. 3 odst. 4 a 5.</w:t>
      </w:r>
    </w:p>
    <w:p w14:paraId="6457A32D" w14:textId="77777777" w:rsidR="00003545" w:rsidRPr="00AE6C2F" w:rsidRDefault="00003545" w:rsidP="001E5C08">
      <w:pPr>
        <w:pStyle w:val="Zkladntext2"/>
        <w:widowControl w:val="0"/>
        <w:spacing w:before="60" w:after="0" w:line="240" w:lineRule="auto"/>
        <w:rPr>
          <w:rFonts w:asciiTheme="majorHAnsi" w:hAnsiTheme="majorHAnsi"/>
          <w:b/>
          <w:bCs/>
          <w:sz w:val="24"/>
          <w:szCs w:val="24"/>
        </w:rPr>
      </w:pPr>
    </w:p>
    <w:p w14:paraId="111BCF7D" w14:textId="77777777" w:rsidR="006C1D94" w:rsidRPr="00AE6C2F" w:rsidRDefault="001A7A0D" w:rsidP="001E5C08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AE6C2F">
        <w:rPr>
          <w:rFonts w:asciiTheme="majorHAnsi" w:hAnsiTheme="majorHAnsi"/>
          <w:b/>
          <w:bCs/>
          <w:sz w:val="24"/>
          <w:szCs w:val="24"/>
        </w:rPr>
        <w:t>Článek</w:t>
      </w:r>
      <w:r w:rsidR="00AE214B" w:rsidRPr="00AE6C2F">
        <w:rPr>
          <w:rFonts w:asciiTheme="majorHAnsi" w:hAnsiTheme="majorHAnsi"/>
          <w:b/>
          <w:bCs/>
          <w:sz w:val="24"/>
          <w:szCs w:val="24"/>
        </w:rPr>
        <w:t xml:space="preserve"> 7</w:t>
      </w:r>
    </w:p>
    <w:p w14:paraId="72F3B597" w14:textId="77777777" w:rsidR="00477F2F" w:rsidRPr="00AE6C2F" w:rsidRDefault="001E5C08" w:rsidP="001E5C08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AE6C2F">
        <w:rPr>
          <w:rFonts w:asciiTheme="majorHAnsi" w:hAnsiTheme="majorHAnsi"/>
          <w:b/>
          <w:bCs/>
          <w:sz w:val="24"/>
          <w:szCs w:val="24"/>
        </w:rPr>
        <w:t>Nakládání s komunálním odpadem vznikajícím na území obce při činnosti právnických a podnikajících fyzických osob</w:t>
      </w:r>
    </w:p>
    <w:p w14:paraId="0A8A5121" w14:textId="77777777" w:rsidR="00800127" w:rsidRPr="00AE6C2F" w:rsidRDefault="001E5C08" w:rsidP="001D132C">
      <w:pPr>
        <w:pStyle w:val="Zkladntext3"/>
        <w:widowControl w:val="0"/>
        <w:numPr>
          <w:ilvl w:val="0"/>
          <w:numId w:val="12"/>
        </w:numPr>
        <w:spacing w:before="120"/>
        <w:ind w:left="357" w:hanging="357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Právnické a podnikající fyzické osoby</w:t>
      </w:r>
      <w:r w:rsidR="003E41F4" w:rsidRPr="00AE6C2F">
        <w:rPr>
          <w:rFonts w:asciiTheme="majorHAnsi" w:hAnsiTheme="majorHAnsi"/>
          <w:sz w:val="24"/>
          <w:szCs w:val="24"/>
        </w:rPr>
        <w:t>,</w:t>
      </w:r>
      <w:r w:rsidRPr="00AE6C2F">
        <w:rPr>
          <w:rFonts w:asciiTheme="majorHAnsi" w:hAnsiTheme="majorHAnsi"/>
          <w:sz w:val="24"/>
          <w:szCs w:val="24"/>
        </w:rPr>
        <w:t xml:space="preserve"> zapojené do obecního systému na základě smlouvy s</w:t>
      </w:r>
      <w:r w:rsidR="003E41F4" w:rsidRPr="00AE6C2F">
        <w:rPr>
          <w:rFonts w:asciiTheme="majorHAnsi" w:hAnsiTheme="majorHAnsi"/>
          <w:sz w:val="24"/>
          <w:szCs w:val="24"/>
        </w:rPr>
        <w:t> </w:t>
      </w:r>
      <w:r w:rsidRPr="00AE6C2F">
        <w:rPr>
          <w:rFonts w:asciiTheme="majorHAnsi" w:hAnsiTheme="majorHAnsi"/>
          <w:sz w:val="24"/>
          <w:szCs w:val="24"/>
        </w:rPr>
        <w:t>obcí</w:t>
      </w:r>
      <w:r w:rsidR="003E41F4" w:rsidRPr="00AE6C2F">
        <w:rPr>
          <w:rFonts w:asciiTheme="majorHAnsi" w:hAnsiTheme="majorHAnsi"/>
          <w:sz w:val="24"/>
          <w:szCs w:val="24"/>
        </w:rPr>
        <w:t>,</w:t>
      </w:r>
      <w:r w:rsidRPr="00AE6C2F">
        <w:rPr>
          <w:rFonts w:asciiTheme="majorHAnsi" w:hAnsiTheme="majorHAnsi"/>
          <w:sz w:val="24"/>
          <w:szCs w:val="24"/>
        </w:rPr>
        <w:t xml:space="preserve"> komunální odpad dle čl. 2 odst. 1 písm</w:t>
      </w:r>
      <w:r w:rsidR="003E41F4" w:rsidRPr="00AE6C2F">
        <w:rPr>
          <w:rFonts w:asciiTheme="majorHAnsi" w:hAnsiTheme="majorHAnsi"/>
          <w:sz w:val="24"/>
          <w:szCs w:val="24"/>
        </w:rPr>
        <w:t xml:space="preserve">. b), c), d), e) </w:t>
      </w:r>
      <w:r w:rsidRPr="00AE6C2F">
        <w:rPr>
          <w:rFonts w:asciiTheme="majorHAnsi" w:hAnsiTheme="majorHAnsi"/>
          <w:sz w:val="24"/>
          <w:szCs w:val="24"/>
        </w:rPr>
        <w:t xml:space="preserve">předávají </w:t>
      </w:r>
      <w:r w:rsidR="003E41F4" w:rsidRPr="00AE6C2F">
        <w:rPr>
          <w:rFonts w:asciiTheme="majorHAnsi" w:hAnsiTheme="majorHAnsi"/>
          <w:sz w:val="24"/>
          <w:szCs w:val="24"/>
        </w:rPr>
        <w:t>na všech místech dle přílohy č. 1</w:t>
      </w:r>
      <w:r w:rsidRPr="00AE6C2F">
        <w:rPr>
          <w:rFonts w:asciiTheme="majorHAnsi" w:hAnsiTheme="majorHAnsi"/>
          <w:sz w:val="24"/>
          <w:szCs w:val="24"/>
        </w:rPr>
        <w:t>.</w:t>
      </w:r>
    </w:p>
    <w:p w14:paraId="7757086C" w14:textId="77777777" w:rsidR="001E5C08" w:rsidRPr="00AE6C2F" w:rsidRDefault="001E5C08" w:rsidP="001D132C">
      <w:pPr>
        <w:pStyle w:val="Zkladntext3"/>
        <w:widowControl w:val="0"/>
        <w:numPr>
          <w:ilvl w:val="0"/>
          <w:numId w:val="12"/>
        </w:numPr>
        <w:spacing w:before="120"/>
        <w:ind w:left="357" w:hanging="357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 xml:space="preserve">Výše úhrady za zapojení do obecního systému se stanoví </w:t>
      </w:r>
      <w:r w:rsidR="003E41F4" w:rsidRPr="00AE6C2F">
        <w:rPr>
          <w:rFonts w:asciiTheme="majorHAnsi" w:hAnsiTheme="majorHAnsi"/>
          <w:sz w:val="24"/>
          <w:szCs w:val="24"/>
        </w:rPr>
        <w:t xml:space="preserve">paušální částkou ve výši dvojnásobku </w:t>
      </w:r>
      <w:r w:rsidR="00800127" w:rsidRPr="00AE6C2F">
        <w:rPr>
          <w:rFonts w:asciiTheme="majorHAnsi" w:hAnsiTheme="majorHAnsi"/>
          <w:sz w:val="24"/>
          <w:szCs w:val="24"/>
        </w:rPr>
        <w:t>místního poplatku za obecní systém odpadového hospodářství.</w:t>
      </w:r>
    </w:p>
    <w:p w14:paraId="60EB023B" w14:textId="77777777" w:rsidR="00946522" w:rsidRPr="00AE6C2F" w:rsidRDefault="00800127" w:rsidP="001D132C">
      <w:pPr>
        <w:pStyle w:val="Zkladntext3"/>
        <w:widowControl w:val="0"/>
        <w:numPr>
          <w:ilvl w:val="0"/>
          <w:numId w:val="12"/>
        </w:numPr>
        <w:spacing w:before="60"/>
        <w:ind w:left="357" w:hanging="357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 xml:space="preserve">Úhrada se vybírá </w:t>
      </w:r>
      <w:proofErr w:type="gramStart"/>
      <w:r w:rsidRPr="00AE6C2F">
        <w:rPr>
          <w:rFonts w:asciiTheme="majorHAnsi" w:hAnsiTheme="majorHAnsi"/>
          <w:sz w:val="24"/>
          <w:szCs w:val="24"/>
        </w:rPr>
        <w:t>jednorázově</w:t>
      </w:r>
      <w:proofErr w:type="gramEnd"/>
      <w:r w:rsidRPr="00AE6C2F">
        <w:rPr>
          <w:rFonts w:asciiTheme="majorHAnsi" w:hAnsiTheme="majorHAnsi"/>
          <w:sz w:val="24"/>
          <w:szCs w:val="24"/>
        </w:rPr>
        <w:t xml:space="preserve"> </w:t>
      </w:r>
      <w:r w:rsidR="001E5C08" w:rsidRPr="00AE6C2F">
        <w:rPr>
          <w:rFonts w:asciiTheme="majorHAnsi" w:hAnsiTheme="majorHAnsi"/>
          <w:sz w:val="24"/>
          <w:szCs w:val="24"/>
        </w:rPr>
        <w:t xml:space="preserve">a to </w:t>
      </w:r>
      <w:r w:rsidRPr="00AE6C2F">
        <w:rPr>
          <w:rFonts w:asciiTheme="majorHAnsi" w:hAnsiTheme="majorHAnsi"/>
          <w:sz w:val="24"/>
          <w:szCs w:val="24"/>
        </w:rPr>
        <w:t>převodem na účet městyse 1524711/0100</w:t>
      </w:r>
      <w:r w:rsidR="00774C7D" w:rsidRPr="00AE6C2F">
        <w:rPr>
          <w:rFonts w:asciiTheme="majorHAnsi" w:hAnsiTheme="majorHAnsi"/>
          <w:sz w:val="24"/>
          <w:szCs w:val="24"/>
        </w:rPr>
        <w:t>.</w:t>
      </w:r>
    </w:p>
    <w:p w14:paraId="32C179F6" w14:textId="77777777" w:rsidR="00003545" w:rsidRDefault="00003545" w:rsidP="00C256C7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437094C1" w14:textId="77777777" w:rsidR="00477F2F" w:rsidRPr="00AE6C2F" w:rsidRDefault="00A8445F" w:rsidP="00C256C7">
      <w:pPr>
        <w:pStyle w:val="Zkladntext2"/>
        <w:widowControl w:val="0"/>
        <w:spacing w:before="60"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AE6C2F">
        <w:rPr>
          <w:rFonts w:asciiTheme="majorHAnsi" w:hAnsiTheme="majorHAnsi"/>
          <w:b/>
          <w:bCs/>
          <w:sz w:val="24"/>
          <w:szCs w:val="24"/>
        </w:rPr>
        <w:t xml:space="preserve">Článek </w:t>
      </w:r>
      <w:r w:rsidR="00AE214B" w:rsidRPr="00AE6C2F">
        <w:rPr>
          <w:rFonts w:asciiTheme="majorHAnsi" w:hAnsiTheme="majorHAnsi"/>
          <w:b/>
          <w:bCs/>
          <w:sz w:val="24"/>
          <w:szCs w:val="24"/>
        </w:rPr>
        <w:t>8</w:t>
      </w:r>
    </w:p>
    <w:p w14:paraId="51078767" w14:textId="77777777" w:rsidR="00477F2F" w:rsidRPr="00AE6C2F" w:rsidRDefault="00800127" w:rsidP="006C1D94">
      <w:pPr>
        <w:pStyle w:val="Zkladntext2"/>
        <w:widowControl w:val="0"/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AE6C2F">
        <w:rPr>
          <w:rFonts w:asciiTheme="majorHAnsi" w:hAnsiTheme="majorHAnsi"/>
          <w:b/>
          <w:bCs/>
          <w:sz w:val="24"/>
          <w:szCs w:val="24"/>
        </w:rPr>
        <w:t>Nakládání s movitými věcmi v rámci předcházení vzniku odpadu</w:t>
      </w:r>
    </w:p>
    <w:p w14:paraId="28E26BB6" w14:textId="77777777" w:rsidR="00800127" w:rsidRPr="00AE6C2F" w:rsidRDefault="00800127" w:rsidP="001D132C">
      <w:pPr>
        <w:pStyle w:val="Odstavecseseznamem"/>
        <w:widowControl w:val="0"/>
        <w:numPr>
          <w:ilvl w:val="0"/>
          <w:numId w:val="13"/>
        </w:numPr>
        <w:spacing w:before="120"/>
        <w:ind w:left="363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Městys v rámci předcházení vzniku odpadu za účelem jejich opětovného použití nakládá s těmito movitými věcmi:</w:t>
      </w:r>
    </w:p>
    <w:p w14:paraId="114AF12C" w14:textId="77777777" w:rsidR="00800127" w:rsidRPr="00AE6C2F" w:rsidRDefault="00800127" w:rsidP="001D132C">
      <w:pPr>
        <w:pStyle w:val="Odstavecseseznamem"/>
        <w:widowControl w:val="0"/>
        <w:numPr>
          <w:ilvl w:val="1"/>
          <w:numId w:val="13"/>
        </w:numPr>
        <w:spacing w:before="6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funkční nábytek,</w:t>
      </w:r>
    </w:p>
    <w:p w14:paraId="0312E67A" w14:textId="77777777" w:rsidR="00800127" w:rsidRPr="00AE6C2F" w:rsidRDefault="00800127" w:rsidP="001D132C">
      <w:pPr>
        <w:pStyle w:val="Odstavecseseznamem"/>
        <w:widowControl w:val="0"/>
        <w:numPr>
          <w:ilvl w:val="1"/>
          <w:numId w:val="13"/>
        </w:numPr>
        <w:spacing w:before="4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oděvy a textil,</w:t>
      </w:r>
    </w:p>
    <w:p w14:paraId="0720805C" w14:textId="77777777" w:rsidR="00800127" w:rsidRPr="00AE6C2F" w:rsidRDefault="00800127" w:rsidP="001D132C">
      <w:pPr>
        <w:pStyle w:val="Odstavecseseznamem"/>
        <w:widowControl w:val="0"/>
        <w:numPr>
          <w:ilvl w:val="1"/>
          <w:numId w:val="13"/>
        </w:numPr>
        <w:spacing w:before="4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kuchyňské vybavení,</w:t>
      </w:r>
    </w:p>
    <w:p w14:paraId="04E8F915" w14:textId="77777777" w:rsidR="00800127" w:rsidRPr="00AE6C2F" w:rsidRDefault="00800127" w:rsidP="001D132C">
      <w:pPr>
        <w:pStyle w:val="Odstavecseseznamem"/>
        <w:widowControl w:val="0"/>
        <w:numPr>
          <w:ilvl w:val="1"/>
          <w:numId w:val="13"/>
        </w:numPr>
        <w:spacing w:before="4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knihy, hračky,</w:t>
      </w:r>
    </w:p>
    <w:p w14:paraId="78A852D0" w14:textId="77777777" w:rsidR="00800127" w:rsidRPr="00AE6C2F" w:rsidRDefault="00D81E78" w:rsidP="001D132C">
      <w:pPr>
        <w:pStyle w:val="Odstavecseseznamem"/>
        <w:widowControl w:val="0"/>
        <w:numPr>
          <w:ilvl w:val="1"/>
          <w:numId w:val="13"/>
        </w:numPr>
        <w:spacing w:before="40"/>
        <w:ind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sportovní vybavení.</w:t>
      </w:r>
    </w:p>
    <w:p w14:paraId="6C7DEF59" w14:textId="77777777" w:rsidR="00477F2F" w:rsidRPr="00AE6C2F" w:rsidRDefault="00800127" w:rsidP="00800127">
      <w:pPr>
        <w:widowControl w:val="0"/>
        <w:spacing w:before="60"/>
        <w:jc w:val="both"/>
        <w:outlineLv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2) Movité věci uvedené v odst. 1 lze předávat do skladu</w:t>
      </w:r>
      <w:r w:rsidR="00256F81" w:rsidRPr="00AE6C2F">
        <w:rPr>
          <w:rFonts w:asciiTheme="majorHAnsi" w:hAnsiTheme="majorHAnsi"/>
          <w:sz w:val="24"/>
          <w:szCs w:val="24"/>
        </w:rPr>
        <w:t xml:space="preserve"> re-use centra, umístěného</w:t>
      </w:r>
      <w:r w:rsidRPr="00AE6C2F">
        <w:rPr>
          <w:rFonts w:asciiTheme="majorHAnsi" w:hAnsiTheme="majorHAnsi"/>
          <w:sz w:val="24"/>
          <w:szCs w:val="24"/>
        </w:rPr>
        <w:t xml:space="preserve"> vedle sběrného dvora na ulici B. Němcové. Movitá věc musí být předána v takovém stavu, aby bylo možné její opětovné použití.</w:t>
      </w:r>
    </w:p>
    <w:p w14:paraId="365410F5" w14:textId="77777777" w:rsidR="00003545" w:rsidRPr="00276382" w:rsidRDefault="00003545" w:rsidP="0057472F">
      <w:pPr>
        <w:widowControl w:val="0"/>
        <w:spacing w:before="60"/>
        <w:jc w:val="both"/>
        <w:rPr>
          <w:rFonts w:asciiTheme="majorHAnsi" w:hAnsiTheme="majorHAnsi"/>
          <w:sz w:val="24"/>
          <w:szCs w:val="24"/>
        </w:rPr>
      </w:pPr>
    </w:p>
    <w:p w14:paraId="521B68EF" w14:textId="77777777" w:rsidR="00477F2F" w:rsidRDefault="00A8445F" w:rsidP="00C256C7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 w:rsidRPr="00276382">
        <w:rPr>
          <w:rFonts w:asciiTheme="majorHAnsi" w:hAnsiTheme="majorHAnsi"/>
          <w:sz w:val="24"/>
          <w:szCs w:val="24"/>
        </w:rPr>
        <w:t>Článek</w:t>
      </w:r>
      <w:r w:rsidR="00AE214B">
        <w:rPr>
          <w:rFonts w:asciiTheme="majorHAnsi" w:hAnsiTheme="majorHAnsi"/>
          <w:sz w:val="24"/>
          <w:szCs w:val="24"/>
        </w:rPr>
        <w:t xml:space="preserve"> 9</w:t>
      </w:r>
    </w:p>
    <w:p w14:paraId="0095822D" w14:textId="77777777" w:rsidR="00276382" w:rsidRPr="00256F81" w:rsidRDefault="00800127" w:rsidP="00256F81">
      <w:pPr>
        <w:widowControl w:val="0"/>
        <w:jc w:val="center"/>
        <w:rPr>
          <w:rFonts w:asciiTheme="majorHAnsi" w:hAnsiTheme="majorHAnsi"/>
          <w:b/>
          <w:bCs/>
          <w:sz w:val="24"/>
          <w:szCs w:val="24"/>
        </w:rPr>
      </w:pPr>
      <w:r w:rsidRPr="00800127">
        <w:rPr>
          <w:rFonts w:asciiTheme="majorHAnsi" w:hAnsiTheme="majorHAnsi"/>
          <w:b/>
          <w:bCs/>
          <w:sz w:val="24"/>
          <w:szCs w:val="24"/>
        </w:rPr>
        <w:t>Nakládání s výrobky s ukončenou životností v rámci služby pro výrobce</w:t>
      </w:r>
      <w:r w:rsidR="00256F81"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800127">
        <w:rPr>
          <w:rFonts w:asciiTheme="majorHAnsi" w:hAnsiTheme="majorHAnsi"/>
          <w:b/>
          <w:bCs/>
          <w:sz w:val="24"/>
          <w:szCs w:val="24"/>
        </w:rPr>
        <w:t>(zpětný odběr)</w:t>
      </w:r>
    </w:p>
    <w:p w14:paraId="02AFBAAA" w14:textId="77777777" w:rsidR="00800127" w:rsidRPr="00800127" w:rsidRDefault="00D81E78" w:rsidP="001D132C">
      <w:pPr>
        <w:pStyle w:val="Odstavecseseznamem"/>
        <w:widowControl w:val="0"/>
        <w:numPr>
          <w:ilvl w:val="0"/>
          <w:numId w:val="2"/>
        </w:numPr>
        <w:spacing w:before="12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Městys </w:t>
      </w:r>
      <w:r w:rsidR="00800127" w:rsidRPr="00800127">
        <w:rPr>
          <w:rFonts w:asciiTheme="majorHAnsi" w:hAnsiTheme="majorHAnsi"/>
          <w:sz w:val="24"/>
          <w:szCs w:val="24"/>
        </w:rPr>
        <w:t>v rámci služby pro výrobce nakládá s těmito výrobky s ukončenou životností:</w:t>
      </w:r>
    </w:p>
    <w:p w14:paraId="2A98B5B8" w14:textId="77777777" w:rsidR="00800127" w:rsidRDefault="00800127" w:rsidP="001D132C">
      <w:pPr>
        <w:pStyle w:val="Odstavecseseznamem"/>
        <w:widowControl w:val="0"/>
        <w:numPr>
          <w:ilvl w:val="1"/>
          <w:numId w:val="2"/>
        </w:numPr>
        <w:spacing w:before="60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</w:t>
      </w:r>
      <w:r w:rsidRPr="00800127">
        <w:rPr>
          <w:rFonts w:asciiTheme="majorHAnsi" w:hAnsiTheme="majorHAnsi"/>
          <w:sz w:val="24"/>
          <w:szCs w:val="24"/>
        </w:rPr>
        <w:t>lektrozařízení</w:t>
      </w:r>
      <w:r>
        <w:rPr>
          <w:rFonts w:asciiTheme="majorHAnsi" w:hAnsiTheme="majorHAnsi"/>
          <w:sz w:val="24"/>
          <w:szCs w:val="24"/>
        </w:rPr>
        <w:t>,</w:t>
      </w:r>
    </w:p>
    <w:p w14:paraId="3F802E65" w14:textId="77777777" w:rsidR="00800127" w:rsidRDefault="00800127" w:rsidP="00256F81">
      <w:pPr>
        <w:pStyle w:val="Odstavecseseznamem"/>
        <w:widowControl w:val="0"/>
        <w:numPr>
          <w:ilvl w:val="1"/>
          <w:numId w:val="2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00127">
        <w:rPr>
          <w:rFonts w:asciiTheme="majorHAnsi" w:hAnsiTheme="majorHAnsi"/>
          <w:sz w:val="24"/>
          <w:szCs w:val="24"/>
        </w:rPr>
        <w:t>baterie a akumulátory</w:t>
      </w:r>
      <w:r>
        <w:rPr>
          <w:rFonts w:asciiTheme="majorHAnsi" w:hAnsiTheme="majorHAnsi"/>
          <w:sz w:val="24"/>
          <w:szCs w:val="24"/>
        </w:rPr>
        <w:t>,</w:t>
      </w:r>
    </w:p>
    <w:p w14:paraId="33809C04" w14:textId="77777777" w:rsidR="00800127" w:rsidRPr="00800127" w:rsidRDefault="00800127" w:rsidP="00256F81">
      <w:pPr>
        <w:pStyle w:val="Odstavecseseznamem"/>
        <w:widowControl w:val="0"/>
        <w:numPr>
          <w:ilvl w:val="1"/>
          <w:numId w:val="2"/>
        </w:numPr>
        <w:spacing w:before="40"/>
        <w:ind w:left="714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800127">
        <w:rPr>
          <w:rFonts w:asciiTheme="majorHAnsi" w:hAnsiTheme="majorHAnsi"/>
          <w:sz w:val="24"/>
          <w:szCs w:val="24"/>
        </w:rPr>
        <w:t>pneumatiky</w:t>
      </w:r>
      <w:r>
        <w:rPr>
          <w:rFonts w:asciiTheme="majorHAnsi" w:hAnsiTheme="majorHAnsi"/>
          <w:sz w:val="24"/>
          <w:szCs w:val="24"/>
        </w:rPr>
        <w:t>,</w:t>
      </w:r>
    </w:p>
    <w:p w14:paraId="67EE13FA" w14:textId="77777777" w:rsidR="00477F2F" w:rsidRPr="00D81E78" w:rsidRDefault="00800127" w:rsidP="00D81E78">
      <w:pPr>
        <w:pStyle w:val="Odstavecseseznamem"/>
        <w:widowControl w:val="0"/>
        <w:numPr>
          <w:ilvl w:val="0"/>
          <w:numId w:val="17"/>
        </w:numPr>
        <w:spacing w:before="60"/>
        <w:ind w:left="357" w:hanging="357"/>
        <w:contextualSpacing w:val="0"/>
        <w:jc w:val="both"/>
        <w:outlineLvl w:val="0"/>
        <w:rPr>
          <w:rFonts w:asciiTheme="majorHAnsi" w:hAnsiTheme="majorHAnsi"/>
          <w:sz w:val="24"/>
          <w:szCs w:val="24"/>
        </w:rPr>
      </w:pPr>
      <w:r w:rsidRPr="00D81E78">
        <w:rPr>
          <w:rFonts w:asciiTheme="majorHAnsi" w:hAnsiTheme="majorHAnsi"/>
          <w:sz w:val="24"/>
          <w:szCs w:val="24"/>
        </w:rPr>
        <w:t>Výrobky s ukončenou životností uvedené v odst. 1 lze předávat</w:t>
      </w:r>
      <w:r w:rsidR="00D81E78">
        <w:rPr>
          <w:rFonts w:asciiTheme="majorHAnsi" w:hAnsiTheme="majorHAnsi"/>
          <w:sz w:val="24"/>
          <w:szCs w:val="24"/>
        </w:rPr>
        <w:t xml:space="preserve"> na sběrném dvoř</w:t>
      </w:r>
      <w:r w:rsidRPr="00D81E78">
        <w:rPr>
          <w:rFonts w:asciiTheme="majorHAnsi" w:hAnsiTheme="majorHAnsi"/>
          <w:sz w:val="24"/>
          <w:szCs w:val="24"/>
        </w:rPr>
        <w:t>e na ulici B. Němcové (GPS souřadnice 49.</w:t>
      </w:r>
      <w:proofErr w:type="gramStart"/>
      <w:r w:rsidRPr="00D81E78">
        <w:rPr>
          <w:rFonts w:asciiTheme="majorHAnsi" w:hAnsiTheme="majorHAnsi"/>
          <w:sz w:val="24"/>
          <w:szCs w:val="24"/>
        </w:rPr>
        <w:t>2464600N</w:t>
      </w:r>
      <w:proofErr w:type="gramEnd"/>
      <w:r w:rsidRPr="00D81E78">
        <w:rPr>
          <w:rFonts w:asciiTheme="majorHAnsi" w:hAnsiTheme="majorHAnsi"/>
          <w:sz w:val="24"/>
          <w:szCs w:val="24"/>
        </w:rPr>
        <w:t>, 15.7633733E) a na místech dle přílohy č. 1</w:t>
      </w:r>
      <w:r w:rsidR="00276382" w:rsidRPr="00D81E78">
        <w:rPr>
          <w:rFonts w:asciiTheme="majorHAnsi" w:hAnsiTheme="majorHAnsi"/>
          <w:sz w:val="24"/>
          <w:szCs w:val="24"/>
        </w:rPr>
        <w:t>.</w:t>
      </w:r>
    </w:p>
    <w:p w14:paraId="01520846" w14:textId="77777777" w:rsidR="00800127" w:rsidRPr="006C1D94" w:rsidRDefault="00800127" w:rsidP="006C1D94"/>
    <w:p w14:paraId="43142173" w14:textId="77777777" w:rsidR="00800127" w:rsidRDefault="00800127" w:rsidP="00800127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Článek 10</w:t>
      </w:r>
    </w:p>
    <w:p w14:paraId="7653FF35" w14:textId="77777777" w:rsidR="00800127" w:rsidRPr="001A7A0D" w:rsidRDefault="00800127" w:rsidP="00800127">
      <w:pPr>
        <w:pStyle w:val="Nadpis4"/>
        <w:keepNext w:val="0"/>
        <w:widowControl w:val="0"/>
        <w:rPr>
          <w:rFonts w:asciiTheme="majorHAnsi" w:hAnsiTheme="majorHAnsi"/>
          <w:sz w:val="24"/>
          <w:szCs w:val="24"/>
        </w:rPr>
      </w:pPr>
      <w:r w:rsidRPr="00800127">
        <w:rPr>
          <w:rFonts w:asciiTheme="majorHAnsi" w:hAnsiTheme="majorHAnsi"/>
          <w:sz w:val="24"/>
          <w:szCs w:val="24"/>
        </w:rPr>
        <w:t>Komunitní kompostování</w:t>
      </w:r>
    </w:p>
    <w:p w14:paraId="0F729608" w14:textId="77777777" w:rsidR="009B4E21" w:rsidRDefault="00800127" w:rsidP="001D132C">
      <w:pPr>
        <w:pStyle w:val="Odstavecseseznamem"/>
        <w:widowControl w:val="0"/>
        <w:numPr>
          <w:ilvl w:val="1"/>
          <w:numId w:val="14"/>
        </w:numPr>
        <w:spacing w:before="120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800127">
        <w:rPr>
          <w:rFonts w:asciiTheme="majorHAnsi" w:hAnsiTheme="majorHAnsi"/>
          <w:sz w:val="24"/>
          <w:szCs w:val="24"/>
        </w:rPr>
        <w:t>Komunitním kompostováním je systém soustřeďování rostlinných zbytků z údržby zeleně,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0127">
        <w:rPr>
          <w:rFonts w:asciiTheme="majorHAnsi" w:hAnsiTheme="majorHAnsi"/>
          <w:sz w:val="24"/>
          <w:szCs w:val="24"/>
        </w:rPr>
        <w:t xml:space="preserve">zahrad a domácností z území </w:t>
      </w:r>
      <w:r w:rsidR="00256F81">
        <w:rPr>
          <w:rFonts w:asciiTheme="majorHAnsi" w:hAnsiTheme="majorHAnsi"/>
          <w:sz w:val="24"/>
          <w:szCs w:val="24"/>
        </w:rPr>
        <w:t>městyse</w:t>
      </w:r>
      <w:r w:rsidRPr="00800127">
        <w:rPr>
          <w:rFonts w:asciiTheme="majorHAnsi" w:hAnsiTheme="majorHAnsi"/>
          <w:sz w:val="24"/>
          <w:szCs w:val="24"/>
        </w:rPr>
        <w:t>, jejich úprava a následné zpracování v</w:t>
      </w:r>
      <w:r>
        <w:rPr>
          <w:rFonts w:asciiTheme="majorHAnsi" w:hAnsiTheme="majorHAnsi"/>
          <w:sz w:val="24"/>
          <w:szCs w:val="24"/>
        </w:rPr>
        <w:t> </w:t>
      </w:r>
      <w:r w:rsidRPr="00800127">
        <w:rPr>
          <w:rFonts w:asciiTheme="majorHAnsi" w:hAnsiTheme="majorHAnsi"/>
          <w:sz w:val="24"/>
          <w:szCs w:val="24"/>
        </w:rPr>
        <w:t>komunitní</w:t>
      </w:r>
      <w:r>
        <w:rPr>
          <w:rFonts w:asciiTheme="majorHAnsi" w:hAnsiTheme="majorHAnsi"/>
          <w:sz w:val="24"/>
          <w:szCs w:val="24"/>
        </w:rPr>
        <w:t xml:space="preserve"> </w:t>
      </w:r>
      <w:r w:rsidRPr="00800127">
        <w:rPr>
          <w:rFonts w:asciiTheme="majorHAnsi" w:hAnsiTheme="majorHAnsi"/>
          <w:sz w:val="24"/>
          <w:szCs w:val="24"/>
        </w:rPr>
        <w:t>kompostárně na kompost</w:t>
      </w:r>
      <w:r w:rsidRPr="00E34A1D">
        <w:rPr>
          <w:rFonts w:ascii="Cambria" w:hAnsi="Cambria" w:cs="Arial"/>
          <w:sz w:val="24"/>
          <w:szCs w:val="24"/>
          <w:vertAlign w:val="superscript"/>
        </w:rPr>
        <w:footnoteReference w:id="3"/>
      </w:r>
      <w:r w:rsidRPr="00800127">
        <w:rPr>
          <w:rFonts w:asciiTheme="majorHAnsi" w:hAnsiTheme="majorHAnsi"/>
          <w:sz w:val="24"/>
          <w:szCs w:val="24"/>
        </w:rPr>
        <w:t>.</w:t>
      </w:r>
    </w:p>
    <w:p w14:paraId="39F27B76" w14:textId="77777777" w:rsidR="00800127" w:rsidRPr="009B4E21" w:rsidRDefault="00800127" w:rsidP="001D132C">
      <w:pPr>
        <w:pStyle w:val="Odstavecseseznamem"/>
        <w:widowControl w:val="0"/>
        <w:numPr>
          <w:ilvl w:val="1"/>
          <w:numId w:val="14"/>
        </w:numPr>
        <w:spacing w:before="6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9B4E21">
        <w:rPr>
          <w:rFonts w:asciiTheme="majorHAnsi" w:hAnsiTheme="majorHAnsi"/>
          <w:sz w:val="24"/>
          <w:szCs w:val="24"/>
        </w:rPr>
        <w:t>Rostlinné zbytky z údržby zeleně, zahrad a domácností ovoce a zelenina ze zahrad</w:t>
      </w:r>
      <w:r w:rsidR="009B4E21">
        <w:rPr>
          <w:rFonts w:asciiTheme="majorHAnsi" w:hAnsiTheme="majorHAnsi"/>
          <w:sz w:val="24"/>
          <w:szCs w:val="24"/>
        </w:rPr>
        <w:t xml:space="preserve"> </w:t>
      </w:r>
      <w:r w:rsidRPr="009B4E21">
        <w:rPr>
          <w:rFonts w:asciiTheme="majorHAnsi" w:hAnsiTheme="majorHAnsi"/>
          <w:sz w:val="24"/>
          <w:szCs w:val="24"/>
        </w:rPr>
        <w:t>a kuchyní, drny se zeminou, rostliny a jejich zbytky neznečištěné chemickými látkami,</w:t>
      </w:r>
      <w:r w:rsidR="009B4E21">
        <w:rPr>
          <w:rFonts w:asciiTheme="majorHAnsi" w:hAnsiTheme="majorHAnsi"/>
          <w:sz w:val="24"/>
          <w:szCs w:val="24"/>
        </w:rPr>
        <w:t xml:space="preserve"> </w:t>
      </w:r>
      <w:r w:rsidRPr="009B4E21">
        <w:rPr>
          <w:rFonts w:asciiTheme="majorHAnsi" w:hAnsiTheme="majorHAnsi"/>
          <w:sz w:val="24"/>
          <w:szCs w:val="24"/>
        </w:rPr>
        <w:t>které budou využity v rámc</w:t>
      </w:r>
      <w:r w:rsidR="009B4E21">
        <w:rPr>
          <w:rFonts w:asciiTheme="majorHAnsi" w:hAnsiTheme="majorHAnsi"/>
          <w:sz w:val="24"/>
          <w:szCs w:val="24"/>
        </w:rPr>
        <w:t xml:space="preserve">i komunitního kompostování, lze </w:t>
      </w:r>
      <w:r w:rsidRPr="009B4E21">
        <w:rPr>
          <w:rFonts w:asciiTheme="majorHAnsi" w:hAnsiTheme="majorHAnsi"/>
          <w:sz w:val="24"/>
          <w:szCs w:val="24"/>
        </w:rPr>
        <w:t xml:space="preserve">odkládat do kontejnerů přistavených v jednotlivých částech </w:t>
      </w:r>
      <w:r w:rsidR="00D81E78">
        <w:rPr>
          <w:rFonts w:asciiTheme="majorHAnsi" w:hAnsiTheme="majorHAnsi"/>
          <w:sz w:val="24"/>
          <w:szCs w:val="24"/>
        </w:rPr>
        <w:t>městyse</w:t>
      </w:r>
      <w:r w:rsidR="009B4E21">
        <w:rPr>
          <w:rFonts w:asciiTheme="majorHAnsi" w:hAnsiTheme="majorHAnsi"/>
          <w:sz w:val="24"/>
          <w:szCs w:val="24"/>
        </w:rPr>
        <w:t xml:space="preserve"> dle přílohy č. 1</w:t>
      </w:r>
      <w:r w:rsidRPr="009B4E21">
        <w:rPr>
          <w:rFonts w:asciiTheme="majorHAnsi" w:hAnsiTheme="majorHAnsi"/>
          <w:sz w:val="24"/>
          <w:szCs w:val="24"/>
        </w:rPr>
        <w:t xml:space="preserve">. </w:t>
      </w:r>
    </w:p>
    <w:p w14:paraId="26772D71" w14:textId="77777777" w:rsidR="00800127" w:rsidRDefault="00800127" w:rsidP="008271CC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</w:p>
    <w:p w14:paraId="45171E25" w14:textId="77777777" w:rsidR="008271CC" w:rsidRPr="00AE6C2F" w:rsidRDefault="00A8445F" w:rsidP="008271CC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 xml:space="preserve">Článek </w:t>
      </w:r>
      <w:r w:rsidR="00FE7127" w:rsidRPr="00AE6C2F">
        <w:rPr>
          <w:rFonts w:asciiTheme="majorHAnsi" w:hAnsiTheme="majorHAnsi"/>
          <w:sz w:val="24"/>
          <w:szCs w:val="24"/>
        </w:rPr>
        <w:t>11</w:t>
      </w:r>
    </w:p>
    <w:p w14:paraId="22EC3FF8" w14:textId="77777777" w:rsidR="00477F2F" w:rsidRPr="00AE6C2F" w:rsidRDefault="00FE7127" w:rsidP="006C1D94">
      <w:pPr>
        <w:pStyle w:val="Nadpis4"/>
        <w:keepNext w:val="0"/>
        <w:widowControl w:val="0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Nakládání se stavebním a demoličním odpadem</w:t>
      </w:r>
    </w:p>
    <w:p w14:paraId="5C5ECE5B" w14:textId="77777777" w:rsidR="00FE7127" w:rsidRPr="00AE6C2F" w:rsidRDefault="00FE7127" w:rsidP="001D132C">
      <w:pPr>
        <w:pStyle w:val="Odstavecseseznamem"/>
        <w:widowControl w:val="0"/>
        <w:numPr>
          <w:ilvl w:val="0"/>
          <w:numId w:val="15"/>
        </w:numPr>
        <w:spacing w:before="120"/>
        <w:ind w:left="357" w:hanging="357"/>
        <w:jc w:val="both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 xml:space="preserve">Stavebním odpadem a demoličním odpadem se rozumí odpad vznikající při stavebních a demoličních činnostech </w:t>
      </w:r>
      <w:r w:rsidRPr="00CE2D70">
        <w:rPr>
          <w:rFonts w:asciiTheme="majorHAnsi" w:hAnsiTheme="majorHAnsi"/>
          <w:sz w:val="24"/>
          <w:szCs w:val="24"/>
        </w:rPr>
        <w:t>nepodnikajících fyzických osob</w:t>
      </w:r>
      <w:r w:rsidRPr="00AE6C2F">
        <w:rPr>
          <w:rFonts w:asciiTheme="majorHAnsi" w:hAnsiTheme="majorHAnsi"/>
          <w:sz w:val="24"/>
          <w:szCs w:val="24"/>
        </w:rPr>
        <w:t>. Stavební a demoliční odpad není odpadem komunálním.</w:t>
      </w:r>
    </w:p>
    <w:p w14:paraId="3C1F5AEA" w14:textId="77777777" w:rsidR="00FE7127" w:rsidRPr="00A93D3A" w:rsidRDefault="00FE7127" w:rsidP="001D132C">
      <w:pPr>
        <w:pStyle w:val="Odstavecseseznamem"/>
        <w:widowControl w:val="0"/>
        <w:numPr>
          <w:ilvl w:val="0"/>
          <w:numId w:val="15"/>
        </w:numPr>
        <w:spacing w:before="6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E6C2F">
        <w:rPr>
          <w:rFonts w:asciiTheme="majorHAnsi" w:hAnsiTheme="majorHAnsi"/>
          <w:sz w:val="24"/>
          <w:szCs w:val="24"/>
        </w:rPr>
        <w:t>Stavební a demoliční odpad lze předávat</w:t>
      </w:r>
      <w:r w:rsidR="00D81E78" w:rsidRPr="00AE6C2F">
        <w:rPr>
          <w:rFonts w:asciiTheme="majorHAnsi" w:hAnsiTheme="majorHAnsi"/>
          <w:sz w:val="24"/>
          <w:szCs w:val="24"/>
        </w:rPr>
        <w:t xml:space="preserve"> na sběrném dvoř</w:t>
      </w:r>
      <w:r w:rsidRPr="00AE6C2F">
        <w:rPr>
          <w:rFonts w:asciiTheme="majorHAnsi" w:hAnsiTheme="majorHAnsi"/>
          <w:sz w:val="24"/>
          <w:szCs w:val="24"/>
        </w:rPr>
        <w:t xml:space="preserve">e na ulici B. Němcové (GPS </w:t>
      </w:r>
      <w:r w:rsidRPr="00A93D3A">
        <w:rPr>
          <w:rFonts w:asciiTheme="majorHAnsi" w:hAnsiTheme="majorHAnsi"/>
          <w:sz w:val="24"/>
          <w:szCs w:val="24"/>
        </w:rPr>
        <w:t>souřadnice 49.</w:t>
      </w:r>
      <w:proofErr w:type="gramStart"/>
      <w:r w:rsidRPr="00A93D3A">
        <w:rPr>
          <w:rFonts w:asciiTheme="majorHAnsi" w:hAnsiTheme="majorHAnsi"/>
          <w:sz w:val="24"/>
          <w:szCs w:val="24"/>
        </w:rPr>
        <w:t>2464600N</w:t>
      </w:r>
      <w:proofErr w:type="gramEnd"/>
      <w:r w:rsidRPr="00A93D3A">
        <w:rPr>
          <w:rFonts w:asciiTheme="majorHAnsi" w:hAnsiTheme="majorHAnsi"/>
          <w:sz w:val="24"/>
          <w:szCs w:val="24"/>
        </w:rPr>
        <w:t>, 15.7633733E).</w:t>
      </w:r>
    </w:p>
    <w:p w14:paraId="4D86FB87" w14:textId="434B608C" w:rsidR="00CE2D70" w:rsidRPr="00A93D3A" w:rsidRDefault="00FE7127" w:rsidP="00C256C7">
      <w:pPr>
        <w:pStyle w:val="Odstavecseseznamem"/>
        <w:widowControl w:val="0"/>
        <w:numPr>
          <w:ilvl w:val="0"/>
          <w:numId w:val="15"/>
        </w:numPr>
        <w:spacing w:before="6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93D3A">
        <w:rPr>
          <w:rFonts w:asciiTheme="majorHAnsi" w:hAnsiTheme="majorHAnsi"/>
          <w:sz w:val="24"/>
          <w:szCs w:val="24"/>
        </w:rPr>
        <w:t xml:space="preserve">Fyzické osoby mohou předávat </w:t>
      </w:r>
      <w:bookmarkStart w:id="1" w:name="_Hlk215667652"/>
      <w:r w:rsidRPr="00A93D3A">
        <w:rPr>
          <w:rFonts w:asciiTheme="majorHAnsi" w:hAnsiTheme="majorHAnsi"/>
          <w:sz w:val="24"/>
          <w:szCs w:val="24"/>
        </w:rPr>
        <w:t xml:space="preserve">stavební a demoliční odpad </w:t>
      </w:r>
      <w:bookmarkEnd w:id="1"/>
      <w:r w:rsidRPr="00A93D3A">
        <w:rPr>
          <w:rFonts w:asciiTheme="majorHAnsi" w:hAnsiTheme="majorHAnsi"/>
          <w:sz w:val="24"/>
          <w:szCs w:val="24"/>
        </w:rPr>
        <w:t xml:space="preserve">na určeném místech při jednotlivých předáních o maximální hmotnosti 500 kg. Celková maximální hmotnost </w:t>
      </w:r>
      <w:r w:rsidR="005413B8" w:rsidRPr="00A93D3A">
        <w:rPr>
          <w:rFonts w:asciiTheme="majorHAnsi" w:hAnsiTheme="majorHAnsi"/>
          <w:sz w:val="24"/>
          <w:szCs w:val="24"/>
        </w:rPr>
        <w:t>městysem</w:t>
      </w:r>
      <w:r w:rsidRPr="00A93D3A">
        <w:rPr>
          <w:rFonts w:asciiTheme="majorHAnsi" w:hAnsiTheme="majorHAnsi"/>
          <w:sz w:val="24"/>
          <w:szCs w:val="24"/>
        </w:rPr>
        <w:t xml:space="preserve"> </w:t>
      </w:r>
      <w:r w:rsidR="00CE2D70" w:rsidRPr="00A93D3A">
        <w:rPr>
          <w:rFonts w:asciiTheme="majorHAnsi" w:hAnsiTheme="majorHAnsi"/>
          <w:sz w:val="24"/>
          <w:szCs w:val="24"/>
        </w:rPr>
        <w:t xml:space="preserve">bezplatně </w:t>
      </w:r>
      <w:r w:rsidRPr="00A93D3A">
        <w:rPr>
          <w:rFonts w:asciiTheme="majorHAnsi" w:hAnsiTheme="majorHAnsi"/>
          <w:sz w:val="24"/>
          <w:szCs w:val="24"/>
        </w:rPr>
        <w:t xml:space="preserve">přebíraného stavebního a demoličního odpadu činí </w:t>
      </w:r>
      <w:r w:rsidR="00AE6C2F" w:rsidRPr="00A93D3A">
        <w:rPr>
          <w:rFonts w:asciiTheme="majorHAnsi" w:hAnsiTheme="majorHAnsi"/>
          <w:sz w:val="24"/>
          <w:szCs w:val="24"/>
        </w:rPr>
        <w:t>1</w:t>
      </w:r>
      <w:r w:rsidR="00CE2D70" w:rsidRPr="00A93D3A">
        <w:rPr>
          <w:rFonts w:asciiTheme="majorHAnsi" w:hAnsiTheme="majorHAnsi"/>
          <w:sz w:val="24"/>
          <w:szCs w:val="24"/>
        </w:rPr>
        <w:t xml:space="preserve"> </w:t>
      </w:r>
      <w:r w:rsidR="00AE6C2F" w:rsidRPr="00A93D3A">
        <w:rPr>
          <w:rFonts w:asciiTheme="majorHAnsi" w:hAnsiTheme="majorHAnsi"/>
          <w:sz w:val="24"/>
          <w:szCs w:val="24"/>
        </w:rPr>
        <w:t>0</w:t>
      </w:r>
      <w:r w:rsidRPr="00A93D3A">
        <w:rPr>
          <w:rFonts w:asciiTheme="majorHAnsi" w:hAnsiTheme="majorHAnsi"/>
          <w:sz w:val="24"/>
          <w:szCs w:val="24"/>
        </w:rPr>
        <w:t>00 kg/rok</w:t>
      </w:r>
      <w:r w:rsidR="00CE2D70" w:rsidRPr="00A93D3A">
        <w:rPr>
          <w:rFonts w:asciiTheme="majorHAnsi" w:hAnsiTheme="majorHAnsi"/>
          <w:sz w:val="24"/>
          <w:szCs w:val="24"/>
        </w:rPr>
        <w:t xml:space="preserve"> na jednu </w:t>
      </w:r>
      <w:r w:rsidR="00AE6C2F" w:rsidRPr="00A93D3A">
        <w:rPr>
          <w:rFonts w:asciiTheme="majorHAnsi" w:hAnsiTheme="majorHAnsi"/>
          <w:sz w:val="24"/>
          <w:szCs w:val="24"/>
        </w:rPr>
        <w:t>evidenční kartu</w:t>
      </w:r>
      <w:r w:rsidR="00477F2F" w:rsidRPr="00A93D3A">
        <w:rPr>
          <w:rFonts w:asciiTheme="majorHAnsi" w:hAnsiTheme="majorHAnsi"/>
          <w:sz w:val="24"/>
          <w:szCs w:val="24"/>
        </w:rPr>
        <w:t>.</w:t>
      </w:r>
    </w:p>
    <w:p w14:paraId="19A8B3C3" w14:textId="3DC3B453" w:rsidR="0068270D" w:rsidRPr="00A93D3A" w:rsidRDefault="00CE2D70" w:rsidP="00C256C7">
      <w:pPr>
        <w:pStyle w:val="Odstavecseseznamem"/>
        <w:widowControl w:val="0"/>
        <w:numPr>
          <w:ilvl w:val="0"/>
          <w:numId w:val="15"/>
        </w:numPr>
        <w:spacing w:before="60"/>
        <w:ind w:left="357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A93D3A">
        <w:rPr>
          <w:rFonts w:asciiTheme="majorHAnsi" w:hAnsiTheme="majorHAnsi"/>
          <w:sz w:val="24"/>
          <w:szCs w:val="24"/>
        </w:rPr>
        <w:t>Stavební a demoliční odpad nad množství stanovené v odst. 3) je zpoplatněný podle ceníku, schváleného radou městyse.</w:t>
      </w:r>
    </w:p>
    <w:p w14:paraId="1443A7F5" w14:textId="77777777" w:rsidR="00CE2D70" w:rsidRPr="00A93D3A" w:rsidRDefault="00CE2D70" w:rsidP="0057472F">
      <w:pPr>
        <w:pStyle w:val="Odstavecseseznamem"/>
        <w:widowControl w:val="0"/>
        <w:spacing w:before="60"/>
        <w:ind w:left="357"/>
        <w:contextualSpacing w:val="0"/>
        <w:jc w:val="both"/>
        <w:rPr>
          <w:rFonts w:asciiTheme="majorHAnsi" w:hAnsiTheme="majorHAnsi"/>
          <w:sz w:val="24"/>
          <w:szCs w:val="24"/>
        </w:rPr>
      </w:pPr>
    </w:p>
    <w:p w14:paraId="78050FC9" w14:textId="77777777" w:rsidR="00477F2F" w:rsidRPr="001A7A0D" w:rsidRDefault="00A8445F" w:rsidP="00C256C7">
      <w:pPr>
        <w:pStyle w:val="Nadpis4"/>
        <w:keepNext w:val="0"/>
        <w:widowControl w:val="0"/>
        <w:spacing w:before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Článek </w:t>
      </w:r>
      <w:r w:rsidR="00FE7127">
        <w:rPr>
          <w:rFonts w:asciiTheme="majorHAnsi" w:hAnsiTheme="majorHAnsi"/>
          <w:sz w:val="24"/>
          <w:szCs w:val="24"/>
        </w:rPr>
        <w:t>12</w:t>
      </w:r>
    </w:p>
    <w:p w14:paraId="753B8AF3" w14:textId="1E144D4F" w:rsidR="00477F2F" w:rsidRPr="0057472F" w:rsidRDefault="00922DC4" w:rsidP="006C1D94">
      <w:pPr>
        <w:pStyle w:val="Nadpis4"/>
        <w:keepNext w:val="0"/>
        <w:widowControl w:val="0"/>
        <w:rPr>
          <w:rFonts w:asciiTheme="majorHAnsi" w:hAnsiTheme="majorHAnsi"/>
          <w:sz w:val="24"/>
          <w:szCs w:val="24"/>
        </w:rPr>
      </w:pPr>
      <w:r w:rsidRPr="0057472F">
        <w:rPr>
          <w:rFonts w:asciiTheme="majorHAnsi" w:hAnsiTheme="majorHAnsi"/>
          <w:sz w:val="24"/>
          <w:szCs w:val="24"/>
        </w:rPr>
        <w:t>Z</w:t>
      </w:r>
      <w:r w:rsidR="0057472F" w:rsidRPr="0057472F">
        <w:rPr>
          <w:rFonts w:ascii="Cambria" w:hAnsi="Cambria"/>
          <w:sz w:val="24"/>
          <w:szCs w:val="24"/>
        </w:rPr>
        <w:t>rušovací ustanovení</w:t>
      </w:r>
    </w:p>
    <w:p w14:paraId="5DF6741D" w14:textId="3BF9E6FE" w:rsidR="0057472F" w:rsidRPr="009B2158" w:rsidRDefault="0057472F" w:rsidP="0057472F">
      <w:pPr>
        <w:pStyle w:val="Odstavec"/>
        <w:numPr>
          <w:ilvl w:val="0"/>
          <w:numId w:val="18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Zrušuje se </w:t>
      </w:r>
      <w:r w:rsidRPr="005413B8">
        <w:rPr>
          <w:rFonts w:ascii="Cambria" w:hAnsi="Cambria"/>
          <w:sz w:val="24"/>
          <w:szCs w:val="24"/>
        </w:rPr>
        <w:t>Obecně závazná vyhláška č. 2/202</w:t>
      </w:r>
      <w:r>
        <w:rPr>
          <w:rFonts w:ascii="Cambria" w:hAnsi="Cambria"/>
          <w:sz w:val="24"/>
          <w:szCs w:val="24"/>
        </w:rPr>
        <w:t xml:space="preserve">1 </w:t>
      </w:r>
      <w:r w:rsidRPr="005413B8">
        <w:rPr>
          <w:rFonts w:ascii="Cambria" w:hAnsi="Cambria"/>
          <w:sz w:val="24"/>
          <w:szCs w:val="24"/>
        </w:rPr>
        <w:t>o</w:t>
      </w:r>
      <w:r w:rsidRPr="0057472F">
        <w:rPr>
          <w:rFonts w:ascii="Cambria" w:hAnsi="Cambria"/>
          <w:sz w:val="24"/>
          <w:szCs w:val="24"/>
        </w:rPr>
        <w:t xml:space="preserve"> stanovení obecního systému odpadového hospodářství</w:t>
      </w:r>
      <w:r>
        <w:rPr>
          <w:rFonts w:ascii="Cambria" w:hAnsi="Cambria"/>
          <w:sz w:val="24"/>
          <w:szCs w:val="24"/>
        </w:rPr>
        <w:t xml:space="preserve"> ze dne 29. 9. 2021</w:t>
      </w:r>
      <w:r w:rsidRPr="009B2158">
        <w:rPr>
          <w:rFonts w:ascii="Cambria" w:hAnsi="Cambria"/>
          <w:sz w:val="24"/>
          <w:szCs w:val="24"/>
        </w:rPr>
        <w:t>.</w:t>
      </w:r>
    </w:p>
    <w:p w14:paraId="52D17193" w14:textId="77777777" w:rsidR="0057472F" w:rsidRPr="009B2158" w:rsidRDefault="0057472F" w:rsidP="0057472F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47FEE39A" w14:textId="328090D3" w:rsidR="0057472F" w:rsidRPr="0057472F" w:rsidRDefault="0057472F" w:rsidP="0057472F">
      <w:pPr>
        <w:pStyle w:val="Nadpis2"/>
        <w:spacing w:before="60"/>
        <w:rPr>
          <w:rFonts w:ascii="Cambria" w:hAnsi="Cambria"/>
          <w:sz w:val="24"/>
          <w:szCs w:val="24"/>
        </w:rPr>
      </w:pPr>
      <w:r w:rsidRPr="0057472F">
        <w:rPr>
          <w:rFonts w:ascii="Cambria" w:hAnsi="Cambria"/>
          <w:sz w:val="24"/>
          <w:szCs w:val="24"/>
        </w:rPr>
        <w:t>Čl</w:t>
      </w:r>
      <w:r>
        <w:rPr>
          <w:rFonts w:ascii="Cambria" w:hAnsi="Cambria"/>
          <w:sz w:val="24"/>
          <w:szCs w:val="24"/>
        </w:rPr>
        <w:t>ánek</w:t>
      </w:r>
      <w:r w:rsidRPr="0057472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13</w:t>
      </w:r>
      <w:r w:rsidRPr="0057472F">
        <w:rPr>
          <w:rFonts w:ascii="Cambria" w:hAnsi="Cambria"/>
          <w:sz w:val="24"/>
          <w:szCs w:val="24"/>
        </w:rPr>
        <w:br/>
        <w:t>Účinnost</w:t>
      </w:r>
    </w:p>
    <w:p w14:paraId="186E6490" w14:textId="70B3D5ED" w:rsidR="0057472F" w:rsidRPr="009B2158" w:rsidRDefault="0057472F" w:rsidP="0057472F">
      <w:pPr>
        <w:pStyle w:val="Odstavec"/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Tato vyhláška nabývá účinnosti dnem 1. ledna 202</w:t>
      </w:r>
      <w:r>
        <w:rPr>
          <w:rFonts w:ascii="Cambria" w:hAnsi="Cambria"/>
          <w:sz w:val="24"/>
          <w:szCs w:val="24"/>
        </w:rPr>
        <w:t>6</w:t>
      </w:r>
      <w:r w:rsidRPr="009B2158">
        <w:rPr>
          <w:rFonts w:ascii="Cambria" w:hAnsi="Cambria"/>
          <w:sz w:val="24"/>
          <w:szCs w:val="24"/>
        </w:rPr>
        <w:t>.</w:t>
      </w:r>
    </w:p>
    <w:p w14:paraId="5E14A514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1F4AFB28" w14:textId="77777777" w:rsidR="0057472F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1A47D6B" w14:textId="77777777" w:rsidR="0057472F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2D7E8166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1A91EA73" w14:textId="77777777" w:rsidR="0057472F" w:rsidRPr="009B2158" w:rsidRDefault="0057472F" w:rsidP="0057472F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7472F" w:rsidRPr="009B2158" w14:paraId="7F05AA42" w14:textId="77777777" w:rsidTr="00955E32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DC0B1A" w14:textId="77777777" w:rsidR="0057472F" w:rsidRPr="009B2158" w:rsidRDefault="0057472F" w:rsidP="00955E32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2CFAC" w14:textId="77777777" w:rsidR="0057472F" w:rsidRPr="009B2158" w:rsidRDefault="0057472F" w:rsidP="00955E32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761AFB3" w14:textId="77777777" w:rsidR="0057472F" w:rsidRDefault="0057472F" w:rsidP="0057472F">
      <w:pPr>
        <w:spacing w:before="60"/>
        <w:rPr>
          <w:rFonts w:ascii="Cambria" w:hAnsi="Cambria"/>
        </w:rPr>
      </w:pPr>
    </w:p>
    <w:p w14:paraId="3A4E7DBF" w14:textId="77777777" w:rsidR="0057472F" w:rsidRPr="009B2158" w:rsidRDefault="0057472F" w:rsidP="0057472F">
      <w:pPr>
        <w:spacing w:before="60"/>
        <w:rPr>
          <w:rFonts w:ascii="Cambria" w:hAnsi="Cambria"/>
        </w:rPr>
      </w:pPr>
    </w:p>
    <w:p w14:paraId="3507763F" w14:textId="77777777" w:rsidR="00B91F9F" w:rsidRDefault="00B91F9F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7A502A39" w14:textId="03F70431" w:rsidR="005413B8" w:rsidRPr="00281E29" w:rsidRDefault="005413B8" w:rsidP="005413B8">
      <w:pPr>
        <w:pStyle w:val="Zkladntext3"/>
        <w:spacing w:before="60"/>
        <w:jc w:val="right"/>
        <w:rPr>
          <w:rFonts w:asciiTheme="majorHAnsi" w:hAnsiTheme="majorHAnsi"/>
          <w:i/>
        </w:rPr>
      </w:pPr>
      <w:r w:rsidRPr="00C256C7">
        <w:rPr>
          <w:rFonts w:asciiTheme="majorHAnsi" w:hAnsiTheme="majorHAnsi"/>
          <w:i/>
        </w:rPr>
        <w:lastRenderedPageBreak/>
        <w:t xml:space="preserve">Příloha </w:t>
      </w:r>
      <w:r>
        <w:rPr>
          <w:rFonts w:asciiTheme="majorHAnsi" w:hAnsiTheme="majorHAnsi"/>
          <w:i/>
        </w:rPr>
        <w:t xml:space="preserve">č. 1 </w:t>
      </w:r>
      <w:r w:rsidRPr="00C256C7">
        <w:rPr>
          <w:rFonts w:asciiTheme="majorHAnsi" w:hAnsiTheme="majorHAnsi"/>
          <w:i/>
        </w:rPr>
        <w:t xml:space="preserve">k Obecně závazné vyhlášce č. </w:t>
      </w:r>
      <w:r w:rsidR="0057472F">
        <w:rPr>
          <w:rFonts w:asciiTheme="majorHAnsi" w:hAnsiTheme="majorHAnsi"/>
          <w:i/>
        </w:rPr>
        <w:t>3</w:t>
      </w:r>
      <w:r w:rsidRPr="00C256C7">
        <w:rPr>
          <w:rFonts w:asciiTheme="majorHAnsi" w:hAnsiTheme="majorHAnsi"/>
          <w:i/>
        </w:rPr>
        <w:t>/20</w:t>
      </w:r>
      <w:r>
        <w:rPr>
          <w:rFonts w:asciiTheme="majorHAnsi" w:hAnsiTheme="majorHAnsi"/>
          <w:i/>
        </w:rPr>
        <w:t>2</w:t>
      </w:r>
      <w:r w:rsidR="0057472F">
        <w:rPr>
          <w:rFonts w:asciiTheme="majorHAnsi" w:hAnsiTheme="majorHAnsi"/>
          <w:i/>
        </w:rPr>
        <w:t>5</w:t>
      </w:r>
    </w:p>
    <w:p w14:paraId="7070B6A7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2F1C1EE1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306"/>
        <w:gridCol w:w="993"/>
        <w:gridCol w:w="951"/>
        <w:gridCol w:w="908"/>
        <w:gridCol w:w="729"/>
        <w:gridCol w:w="866"/>
        <w:gridCol w:w="1133"/>
        <w:gridCol w:w="1174"/>
      </w:tblGrid>
      <w:tr w:rsidR="005413B8" w:rsidRPr="00AE643D" w14:paraId="7CC2859F" w14:textId="77777777" w:rsidTr="005413B8">
        <w:trPr>
          <w:trHeight w:val="300"/>
          <w:jc w:val="center"/>
        </w:trPr>
        <w:tc>
          <w:tcPr>
            <w:tcW w:w="3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4D95B1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 xml:space="preserve">Sběrná </w:t>
            </w:r>
            <w:proofErr w:type="gramStart"/>
            <w:r w:rsidRPr="00AE643D">
              <w:rPr>
                <w:rFonts w:ascii="Arial" w:hAnsi="Arial" w:cs="Arial"/>
                <w:b/>
                <w:bCs/>
                <w:color w:val="000000"/>
              </w:rPr>
              <w:t>místa - ulice</w:t>
            </w:r>
            <w:proofErr w:type="gramEnd"/>
          </w:p>
        </w:tc>
        <w:tc>
          <w:tcPr>
            <w:tcW w:w="6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88EB96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EB757E">
              <w:rPr>
                <w:rFonts w:ascii="Arial" w:hAnsi="Arial" w:cs="Arial"/>
                <w:b/>
                <w:bCs/>
              </w:rPr>
              <w:t>Počet kontejnerů</w:t>
            </w:r>
          </w:p>
        </w:tc>
      </w:tr>
      <w:tr w:rsidR="005413B8" w:rsidRPr="00AE643D" w14:paraId="0AC22957" w14:textId="77777777" w:rsidTr="005413B8">
        <w:trPr>
          <w:trHeight w:val="300"/>
          <w:jc w:val="center"/>
        </w:trPr>
        <w:tc>
          <w:tcPr>
            <w:tcW w:w="38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8D247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BBD5D9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AE643D">
              <w:rPr>
                <w:rFonts w:ascii="Arial" w:hAnsi="Arial" w:cs="Arial"/>
                <w:b/>
                <w:bCs/>
                <w:color w:val="0000FF"/>
              </w:rPr>
              <w:t>papír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07B4A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AE643D">
              <w:rPr>
                <w:rFonts w:ascii="Arial" w:hAnsi="Arial" w:cs="Arial"/>
                <w:b/>
                <w:bCs/>
                <w:color w:val="FFFF00"/>
              </w:rPr>
              <w:t>plasty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AA6E2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8000"/>
              </w:rPr>
            </w:pPr>
            <w:r w:rsidRPr="00AE643D">
              <w:rPr>
                <w:rFonts w:ascii="Arial" w:hAnsi="Arial" w:cs="Arial"/>
                <w:b/>
                <w:bCs/>
                <w:color w:val="008000"/>
              </w:rPr>
              <w:t>sklo barevné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5138F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AE643D">
              <w:rPr>
                <w:rFonts w:ascii="Arial" w:hAnsi="Arial" w:cs="Arial"/>
                <w:b/>
                <w:bCs/>
                <w:color w:val="FFFFFF"/>
              </w:rPr>
              <w:t>sklo bílé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044C28" w14:textId="77777777" w:rsidR="005413B8" w:rsidRPr="00C96921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800000"/>
              </w:rPr>
            </w:pPr>
            <w:r w:rsidRPr="00EB757E">
              <w:rPr>
                <w:rFonts w:ascii="Arial" w:hAnsi="Arial" w:cs="Arial"/>
                <w:b/>
                <w:bCs/>
                <w:color w:val="7F7F7F" w:themeColor="text1" w:themeTint="80"/>
              </w:rPr>
              <w:t>kovy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EA52E1" w14:textId="77777777" w:rsidR="005413B8" w:rsidRPr="00C96921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800000"/>
              </w:rPr>
            </w:pPr>
            <w:r w:rsidRPr="00C96921">
              <w:rPr>
                <w:rFonts w:ascii="Arial" w:hAnsi="Arial" w:cs="Arial"/>
                <w:b/>
                <w:bCs/>
                <w:color w:val="800000"/>
              </w:rPr>
              <w:t>bioodpad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7A4BFE" w14:textId="77777777" w:rsidR="005413B8" w:rsidRPr="00C96921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800000"/>
              </w:rPr>
            </w:pPr>
            <w:r w:rsidRPr="0016245C">
              <w:rPr>
                <w:rFonts w:ascii="Arial" w:hAnsi="Arial" w:cs="Arial"/>
                <w:b/>
                <w:bCs/>
              </w:rPr>
              <w:t>ostatní</w:t>
            </w:r>
          </w:p>
        </w:tc>
      </w:tr>
      <w:tr w:rsidR="005413B8" w:rsidRPr="00AE643D" w14:paraId="2D1EB9C0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5B8AED1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77B51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U Stadionu – před plotem hřiště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04E2A1C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565107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AE643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1136199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7FDC8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3C868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1C02C90F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8054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e</w:t>
            </w:r>
            <w:r w:rsidRPr="0016245C">
              <w:rPr>
                <w:rFonts w:ascii="Arial" w:hAnsi="Arial" w:cs="Arial"/>
                <w:b/>
                <w:bCs/>
                <w:color w:val="FF0000"/>
              </w:rPr>
              <w:t>lektro</w:t>
            </w:r>
            <w:r>
              <w:rPr>
                <w:rFonts w:ascii="Arial" w:hAnsi="Arial" w:cs="Arial"/>
                <w:b/>
                <w:bCs/>
                <w:color w:val="FF0000"/>
              </w:rPr>
              <w:t>, textil</w:t>
            </w:r>
          </w:p>
        </w:tc>
      </w:tr>
      <w:tr w:rsidR="005413B8" w:rsidRPr="00AE643D" w14:paraId="57635173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EC8CF7F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CFF52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U Stadionu – u parkoviště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7B6BD1D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5F0CC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437969E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3DFE33D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iCs/>
                <w:color w:val="000000"/>
              </w:rPr>
            </w:pPr>
            <w:r w:rsidRPr="0016245C">
              <w:rPr>
                <w:rFonts w:ascii="Arial" w:hAnsi="Arial" w:cs="Arial"/>
                <w:b/>
                <w:i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1D505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EB757E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02A0B1EB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D6255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7FC9714C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388744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9F10D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J. A. Komenského – u MŠ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5191662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08A54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30B8AC9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C11D7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694B34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11AD879A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7E14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44FE1887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0C6605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2BFEE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Masarykova – u jídelny ZŠ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2079FFE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35A1C4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AE643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  <w:hideMark/>
          </w:tcPr>
          <w:p w14:paraId="32FC8D5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DC71481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6245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96A60CB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  <w:hideMark/>
          </w:tcPr>
          <w:p w14:paraId="011033FA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 + 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6A46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404A39B5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2FFC3D0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07FB6D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V Zahradách – na konci ulice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1245378D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70E37C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79D3B58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9E8FA8D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6245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E0D7B5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905445">
              <w:rPr>
                <w:rFonts w:ascii="Arial" w:hAnsi="Arial" w:cs="Arial"/>
                <w:b/>
                <w:color w:val="FFFFFF" w:themeColor="background1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11BFDE20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color w:val="FFFFFF" w:themeColor="background1"/>
              </w:rPr>
              <w:t>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91AE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413B8" w:rsidRPr="00AE643D" w14:paraId="400B4AF6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A949F28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AA988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Tyršova – u sokolovny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5836A4B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5ADAC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AE643D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0F88B2C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3F6100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C78F546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076641B8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3E7A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22343103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478FEB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8E7F7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B. Němcové – u prodejny Albert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4397AE0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FCC87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78A4643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54EA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C7FB6B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30051708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15B9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3E0E198F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749028D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3B97B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 xml:space="preserve">Sadová – za firmou </w:t>
            </w:r>
            <w:proofErr w:type="spellStart"/>
            <w:r w:rsidRPr="00CB7943">
              <w:rPr>
                <w:rFonts w:ascii="Arial" w:hAnsi="Arial" w:cs="Arial"/>
                <w:color w:val="000000"/>
              </w:rPr>
              <w:t>Komvet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5F1F90D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04EDF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2D2AC0E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36338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63C04D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5BD4FFEB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 + 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6AD22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e</w:t>
            </w:r>
            <w:r w:rsidRPr="0016245C">
              <w:rPr>
                <w:rFonts w:ascii="Arial" w:hAnsi="Arial" w:cs="Arial"/>
                <w:b/>
                <w:bCs/>
                <w:color w:val="FF0000"/>
              </w:rPr>
              <w:t>lektro</w:t>
            </w:r>
            <w:r>
              <w:rPr>
                <w:rFonts w:ascii="Arial" w:hAnsi="Arial" w:cs="Arial"/>
                <w:b/>
                <w:bCs/>
                <w:color w:val="FF0000"/>
              </w:rPr>
              <w:t>, textil</w:t>
            </w:r>
          </w:p>
        </w:tc>
      </w:tr>
      <w:tr w:rsidR="005413B8" w:rsidRPr="00AE643D" w14:paraId="43C29023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DF75D8A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C41C3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Pod Tratí – pod žel. přejezdem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1803AC6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F8FD9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6E24BF4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2CBD11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020B985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7279E134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C1897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2783578A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A20719F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3B19B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Cihelna – u silnice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2DB1872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9A1EE9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49A0984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FEA82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48570CE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7E454EBF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AF34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0A8A2B44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C208D2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D94943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areál zámku – ve vjezdu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74DC7B9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7EFB9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AE643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2785D919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E64B6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E6A407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282F6794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A553B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55EC560A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1AA8C9E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 w:rsidRPr="00AE643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17D17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Stará osada – pod kostelem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0388A03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B77350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173AE9C0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261CCD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000000"/>
              </w:rPr>
            </w:pPr>
            <w:r w:rsidRPr="0016245C">
              <w:rPr>
                <w:rFonts w:ascii="Arial" w:hAnsi="Arial" w:cs="Arial"/>
                <w:b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32BCB33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321F3E7E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D2EE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1F41E807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AD917A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2D8FA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Boroví – za křižovatkou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073AB8A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C9A8B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AE643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3D5B59F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972395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iCs/>
                <w:color w:val="FF0000"/>
              </w:rPr>
            </w:pPr>
            <w:r w:rsidRPr="005A7D85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3CF693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6ECC5185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 + 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05FA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5BF58709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6F1907" w14:textId="77777777" w:rsidR="005413B8" w:rsidRPr="00AE643D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FC22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Nádražní – u žel. přejezdu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31186EF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16669B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20F2D68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D616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52E43CC" w14:textId="77777777" w:rsidR="005413B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CB7943"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1AEBB65D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FCBAD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575FC59A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4A4047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E618" w14:textId="77777777" w:rsidR="005413B8" w:rsidRPr="00CB7943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 w:rsidRPr="00CB7943">
              <w:rPr>
                <w:rFonts w:ascii="Arial" w:hAnsi="Arial" w:cs="Arial"/>
                <w:color w:val="000000"/>
              </w:rPr>
              <w:t>Partyzánská – na křižovatce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1DD7FBC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E643D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E247E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60ED172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E643D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9DE96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108BD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CB7943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38D13BAE" w14:textId="77777777" w:rsidR="005413B8" w:rsidRPr="003D577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D5778">
              <w:rPr>
                <w:rFonts w:ascii="Arial" w:hAnsi="Arial" w:cs="Arial"/>
                <w:b/>
                <w:bCs/>
                <w:color w:val="FFFFFF" w:themeColor="background1"/>
              </w:rPr>
              <w:t>1 + 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4FC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413B8" w:rsidRPr="00AE643D" w14:paraId="4678B603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2C9604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3CE9A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Tovární – u propustku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7099B7CB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2CDC62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580F7C5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21B5D3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9493D89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69CAA176" w14:textId="77777777" w:rsidR="005413B8" w:rsidRPr="0016245C" w:rsidRDefault="005413B8" w:rsidP="00E070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10CE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413B8" w:rsidRPr="00AE643D" w14:paraId="020B8DBC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EB5E7E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4D39A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proofErr w:type="spellStart"/>
            <w:r w:rsidRPr="00AE643D">
              <w:rPr>
                <w:rFonts w:ascii="Arial" w:hAnsi="Arial" w:cs="Arial"/>
                <w:color w:val="000000"/>
              </w:rPr>
              <w:t>Loudilka</w:t>
            </w:r>
            <w:proofErr w:type="spellEnd"/>
            <w:r w:rsidRPr="00AE643D">
              <w:rPr>
                <w:rFonts w:ascii="Arial" w:hAnsi="Arial" w:cs="Arial"/>
                <w:color w:val="000000"/>
              </w:rPr>
              <w:t xml:space="preserve"> (240 l)</w:t>
            </w:r>
            <w:r>
              <w:rPr>
                <w:rFonts w:ascii="Arial" w:hAnsi="Arial" w:cs="Arial"/>
                <w:color w:val="000000"/>
              </w:rPr>
              <w:t xml:space="preserve"> – u silnice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bottom"/>
          </w:tcPr>
          <w:p w14:paraId="1F868DE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7FE409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4000B5C0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58D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6E33FD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071543C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5B19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413B8" w:rsidRPr="00AE643D" w14:paraId="79397377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91388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EFEA8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8FC50F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BBF19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4F2F4AF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B2F1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2B0F0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23ED434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3C0284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413B8" w:rsidRPr="00AE643D" w14:paraId="2F18CBF2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0FA38D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0233DB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sběrný dvůr – za ul. B. Němcové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428C5E6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E0D98F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bottom"/>
          </w:tcPr>
          <w:p w14:paraId="0AB1FA8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4A26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36F3F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00"/>
            <w:vAlign w:val="bottom"/>
          </w:tcPr>
          <w:p w14:paraId="253A9E41" w14:textId="77777777" w:rsidR="005413B8" w:rsidRPr="00CB7943" w:rsidRDefault="005413B8" w:rsidP="00E070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CB7943">
              <w:rPr>
                <w:rFonts w:ascii="Arial" w:hAnsi="Arial" w:cs="Arial"/>
                <w:b/>
              </w:rPr>
              <w:t>2 x VO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D5F4A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9900"/>
              </w:rPr>
              <w:t>kuchyňský</w:t>
            </w:r>
            <w:r w:rsidRPr="0027304B">
              <w:rPr>
                <w:rFonts w:ascii="Arial" w:hAnsi="Arial" w:cs="Arial"/>
                <w:b/>
                <w:color w:val="FF9900"/>
              </w:rPr>
              <w:t xml:space="preserve"> olej</w:t>
            </w:r>
          </w:p>
        </w:tc>
      </w:tr>
      <w:tr w:rsidR="005413B8" w:rsidRPr="00AE643D" w14:paraId="01192725" w14:textId="77777777" w:rsidTr="005413B8">
        <w:trPr>
          <w:trHeight w:val="20"/>
          <w:jc w:val="center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4CBBE" w14:textId="77777777" w:rsidR="005413B8" w:rsidRPr="00EB757E" w:rsidRDefault="005413B8" w:rsidP="00E07093">
            <w:pPr>
              <w:spacing w:before="60"/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8"/>
                <w:szCs w:val="8"/>
              </w:rPr>
              <w:t xml:space="preserve"> X VO</w:t>
            </w:r>
          </w:p>
        </w:tc>
      </w:tr>
      <w:tr w:rsidR="005413B8" w:rsidRPr="00AE643D" w14:paraId="5073F43C" w14:textId="77777777" w:rsidTr="005413B8">
        <w:trPr>
          <w:trHeight w:val="300"/>
          <w:jc w:val="center"/>
        </w:trPr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F783B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Celkem 108</w:t>
            </w:r>
            <w:r w:rsidRPr="00AE643D">
              <w:rPr>
                <w:rFonts w:ascii="Arial" w:hAnsi="Arial" w:cs="Arial"/>
                <w:b/>
                <w:bCs/>
                <w:color w:val="000000"/>
              </w:rPr>
              <w:t xml:space="preserve"> ks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+ 7 P + 9 VO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2FB43558" w14:textId="77777777" w:rsidR="005413B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25 + P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6F41F8" w14:textId="77777777" w:rsidR="005413B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33 + P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  <w:vAlign w:val="bottom"/>
          </w:tcPr>
          <w:p w14:paraId="5A42882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 + P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6D4D4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D3B71B8" w14:textId="77777777" w:rsidR="005413B8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CB7943">
              <w:rPr>
                <w:rFonts w:ascii="Arial" w:hAnsi="Arial" w:cs="Arial"/>
                <w:b/>
                <w:bCs/>
                <w:color w:val="FFFFFF" w:themeColor="background1"/>
              </w:rPr>
              <w:t xml:space="preserve">6 + 4 P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bottom"/>
          </w:tcPr>
          <w:p w14:paraId="3C86652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 + 9 VO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363AF" w14:textId="77777777" w:rsidR="005413B8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</w:tr>
      <w:tr w:rsidR="005413B8" w:rsidRPr="00AE643D" w14:paraId="024C8C78" w14:textId="77777777" w:rsidTr="005413B8">
        <w:trPr>
          <w:trHeight w:val="113"/>
          <w:jc w:val="center"/>
        </w:trPr>
        <w:tc>
          <w:tcPr>
            <w:tcW w:w="106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D7C77" w14:textId="77777777" w:rsidR="005413B8" w:rsidRPr="00EB757E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FF9900"/>
                <w:sz w:val="8"/>
                <w:szCs w:val="8"/>
              </w:rPr>
            </w:pPr>
          </w:p>
        </w:tc>
      </w:tr>
      <w:tr w:rsidR="005413B8" w:rsidRPr="00AE643D" w14:paraId="596838DE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83A7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887004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vchod do základní školy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E2BD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24772C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CC94B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33B2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233F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180C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FC2E" w14:textId="77777777" w:rsidR="005413B8" w:rsidRPr="0027304B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990099"/>
              </w:rPr>
            </w:pPr>
            <w:r>
              <w:rPr>
                <w:rFonts w:ascii="Arial" w:hAnsi="Arial" w:cs="Arial"/>
                <w:b/>
                <w:color w:val="990099"/>
              </w:rPr>
              <w:t>drobné</w:t>
            </w:r>
            <w:r w:rsidRPr="0027304B">
              <w:rPr>
                <w:rFonts w:ascii="Arial" w:hAnsi="Arial" w:cs="Arial"/>
                <w:b/>
                <w:color w:val="990099"/>
              </w:rPr>
              <w:t xml:space="preserve"> elektro</w:t>
            </w:r>
          </w:p>
        </w:tc>
      </w:tr>
      <w:tr w:rsidR="005413B8" w:rsidRPr="00AE643D" w14:paraId="75DBF86B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A736B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A9062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vchod do školní jídelny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1E881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15BBA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38D79E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4BB90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C6433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CA6AF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5D38" w14:textId="77777777" w:rsidR="005413B8" w:rsidRPr="0027304B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FF9900"/>
              </w:rPr>
            </w:pPr>
            <w:r>
              <w:rPr>
                <w:rFonts w:ascii="Arial" w:hAnsi="Arial" w:cs="Arial"/>
                <w:b/>
                <w:color w:val="FF9900"/>
              </w:rPr>
              <w:t>kuchyňský</w:t>
            </w:r>
            <w:r w:rsidRPr="0027304B">
              <w:rPr>
                <w:rFonts w:ascii="Arial" w:hAnsi="Arial" w:cs="Arial"/>
                <w:b/>
                <w:color w:val="FF9900"/>
              </w:rPr>
              <w:t xml:space="preserve"> olej</w:t>
            </w:r>
          </w:p>
        </w:tc>
      </w:tr>
      <w:tr w:rsidR="005413B8" w:rsidRPr="00AE643D" w14:paraId="597541B3" w14:textId="77777777" w:rsidTr="005413B8">
        <w:trPr>
          <w:trHeight w:val="30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6213A" w14:textId="77777777" w:rsidR="005413B8" w:rsidRDefault="005413B8" w:rsidP="00E0709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56764" w14:textId="77777777" w:rsidR="005413B8" w:rsidRPr="00AE643D" w:rsidRDefault="005413B8" w:rsidP="00E07093">
            <w:pPr>
              <w:spacing w:before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vchod na zdravotní středisko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C3F7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AC345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1F327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9E4C6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A7652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9DAF8" w14:textId="77777777" w:rsidR="005413B8" w:rsidRPr="00AE643D" w:rsidRDefault="005413B8" w:rsidP="00E07093">
            <w:pPr>
              <w:spacing w:before="60"/>
              <w:jc w:val="center"/>
              <w:rPr>
                <w:rFonts w:ascii="Arial" w:hAnsi="Arial" w:cs="Arial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211E5" w14:textId="77777777" w:rsidR="005413B8" w:rsidRPr="005A7D85" w:rsidRDefault="005413B8" w:rsidP="00E07093">
            <w:pPr>
              <w:spacing w:before="60"/>
              <w:jc w:val="center"/>
              <w:rPr>
                <w:rFonts w:ascii="Arial" w:hAnsi="Arial" w:cs="Arial"/>
                <w:b/>
                <w:color w:val="CC0099"/>
              </w:rPr>
            </w:pPr>
            <w:r>
              <w:rPr>
                <w:rFonts w:ascii="Arial" w:hAnsi="Arial" w:cs="Arial"/>
                <w:b/>
                <w:color w:val="990099"/>
              </w:rPr>
              <w:t>drobné</w:t>
            </w:r>
            <w:r w:rsidRPr="0027304B">
              <w:rPr>
                <w:rFonts w:ascii="Arial" w:hAnsi="Arial" w:cs="Arial"/>
                <w:b/>
                <w:color w:val="990099"/>
              </w:rPr>
              <w:t xml:space="preserve"> elektro</w:t>
            </w:r>
          </w:p>
        </w:tc>
      </w:tr>
    </w:tbl>
    <w:p w14:paraId="0266631F" w14:textId="77777777" w:rsidR="005413B8" w:rsidRDefault="005413B8" w:rsidP="005413B8"/>
    <w:p w14:paraId="2CF54FBD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5A00D755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6D51C845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757CEA96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54406F82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4702A12C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4AEDF1BF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25600148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6F1DF946" w14:textId="77777777" w:rsidR="005413B8" w:rsidRDefault="005413B8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62F5CC4E" w14:textId="77777777" w:rsidR="0057472F" w:rsidRDefault="0057472F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7B31A30B" w14:textId="77777777" w:rsidR="0057472F" w:rsidRDefault="0057472F" w:rsidP="001A7A0D">
      <w:pPr>
        <w:pStyle w:val="Zkladntext3"/>
        <w:spacing w:before="60"/>
        <w:rPr>
          <w:rFonts w:asciiTheme="majorHAnsi" w:hAnsiTheme="majorHAnsi"/>
          <w:sz w:val="24"/>
          <w:szCs w:val="24"/>
        </w:rPr>
      </w:pPr>
    </w:p>
    <w:p w14:paraId="6BF0F5A0" w14:textId="10516FE5" w:rsidR="005413B8" w:rsidRPr="00281E29" w:rsidRDefault="005413B8" w:rsidP="005413B8">
      <w:pPr>
        <w:pStyle w:val="Zkladntext3"/>
        <w:spacing w:before="60"/>
        <w:jc w:val="right"/>
        <w:rPr>
          <w:rFonts w:asciiTheme="majorHAnsi" w:hAnsiTheme="majorHAnsi"/>
          <w:i/>
        </w:rPr>
      </w:pPr>
      <w:r w:rsidRPr="00C256C7">
        <w:rPr>
          <w:rFonts w:asciiTheme="majorHAnsi" w:hAnsiTheme="majorHAnsi"/>
          <w:i/>
        </w:rPr>
        <w:lastRenderedPageBreak/>
        <w:t xml:space="preserve">Příloha </w:t>
      </w:r>
      <w:r>
        <w:rPr>
          <w:rFonts w:asciiTheme="majorHAnsi" w:hAnsiTheme="majorHAnsi"/>
          <w:i/>
        </w:rPr>
        <w:t xml:space="preserve">č. 2 </w:t>
      </w:r>
      <w:r w:rsidRPr="00C256C7">
        <w:rPr>
          <w:rFonts w:asciiTheme="majorHAnsi" w:hAnsiTheme="majorHAnsi"/>
          <w:i/>
        </w:rPr>
        <w:t xml:space="preserve">k Obecně závazné vyhlášce č. </w:t>
      </w:r>
      <w:r w:rsidR="0057472F">
        <w:rPr>
          <w:rFonts w:asciiTheme="majorHAnsi" w:hAnsiTheme="majorHAnsi"/>
          <w:i/>
        </w:rPr>
        <w:t>3</w:t>
      </w:r>
      <w:r w:rsidRPr="00C256C7">
        <w:rPr>
          <w:rFonts w:asciiTheme="majorHAnsi" w:hAnsiTheme="majorHAnsi"/>
          <w:i/>
        </w:rPr>
        <w:t>/20</w:t>
      </w:r>
      <w:r>
        <w:rPr>
          <w:rFonts w:asciiTheme="majorHAnsi" w:hAnsiTheme="majorHAnsi"/>
          <w:i/>
        </w:rPr>
        <w:t>2</w:t>
      </w:r>
      <w:r w:rsidR="0057472F">
        <w:rPr>
          <w:rFonts w:asciiTheme="majorHAnsi" w:hAnsiTheme="majorHAnsi"/>
          <w:i/>
        </w:rPr>
        <w:t>5</w:t>
      </w:r>
    </w:p>
    <w:p w14:paraId="160BFD6E" w14:textId="77777777" w:rsidR="005413B8" w:rsidRPr="005413B8" w:rsidRDefault="005413B8" w:rsidP="005413B8">
      <w:pPr>
        <w:pStyle w:val="Zkladntext3"/>
        <w:spacing w:before="60"/>
        <w:rPr>
          <w:rFonts w:asciiTheme="majorHAnsi" w:hAnsiTheme="majorHAnsi"/>
          <w:i/>
          <w:sz w:val="24"/>
          <w:szCs w:val="24"/>
        </w:rPr>
      </w:pPr>
      <w:r w:rsidRPr="005413B8">
        <w:rPr>
          <w:rFonts w:asciiTheme="majorHAnsi" w:hAnsiTheme="majorHAnsi"/>
          <w:i/>
          <w:noProof/>
        </w:rPr>
        <w:drawing>
          <wp:anchor distT="0" distB="0" distL="114300" distR="114300" simplePos="0" relativeHeight="251659264" behindDoc="1" locked="0" layoutInCell="1" allowOverlap="1" wp14:anchorId="352C5AA3" wp14:editId="019DF3D0">
            <wp:simplePos x="0" y="0"/>
            <wp:positionH relativeFrom="column">
              <wp:align>center</wp:align>
            </wp:positionH>
            <wp:positionV relativeFrom="paragraph">
              <wp:posOffset>1320800</wp:posOffset>
            </wp:positionV>
            <wp:extent cx="8420400" cy="6285600"/>
            <wp:effectExtent l="635" t="0" r="635" b="635"/>
            <wp:wrapTight wrapText="bothSides">
              <wp:wrapPolygon edited="0">
                <wp:start x="21598" y="-2"/>
                <wp:lineTo x="47" y="-2"/>
                <wp:lineTo x="47" y="21537"/>
                <wp:lineTo x="21598" y="21537"/>
                <wp:lineTo x="21598" y="-2"/>
              </wp:wrapPolygon>
            </wp:wrapTight>
            <wp:docPr id="2" name="Obrázek 2" descr="G:\Dokumenty\Životní prostředí\Odpady\Sběrná místa\Mapa kontejnerových stá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okumenty\Životní prostředí\Odpady\Sběrná místa\Mapa kontejnerových stání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420400" cy="62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613A4" w14:textId="77777777" w:rsidR="0068270D" w:rsidRDefault="0068270D" w:rsidP="005413B8">
      <w:pPr>
        <w:pStyle w:val="Zkladntext3"/>
        <w:spacing w:before="60"/>
        <w:rPr>
          <w:rFonts w:asciiTheme="majorHAnsi" w:hAnsiTheme="majorHAnsi"/>
          <w:i/>
        </w:rPr>
      </w:pPr>
    </w:p>
    <w:sectPr w:rsidR="0068270D" w:rsidSect="0057472F">
      <w:pgSz w:w="11906" w:h="16838"/>
      <w:pgMar w:top="1134" w:right="1134" w:bottom="1134" w:left="1134" w:header="0" w:footer="0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C5C4D" w14:textId="77777777" w:rsidR="00505CE1" w:rsidRDefault="00505CE1" w:rsidP="00A13EB6">
      <w:r>
        <w:separator/>
      </w:r>
    </w:p>
  </w:endnote>
  <w:endnote w:type="continuationSeparator" w:id="0">
    <w:p w14:paraId="5222E066" w14:textId="77777777" w:rsidR="00505CE1" w:rsidRDefault="00505CE1" w:rsidP="00A1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C70E" w14:textId="77777777" w:rsidR="00505CE1" w:rsidRDefault="00505CE1" w:rsidP="00A13EB6">
      <w:r>
        <w:separator/>
      </w:r>
    </w:p>
  </w:footnote>
  <w:footnote w:type="continuationSeparator" w:id="0">
    <w:p w14:paraId="7C861A5F" w14:textId="77777777" w:rsidR="00505CE1" w:rsidRDefault="00505CE1" w:rsidP="00A13EB6">
      <w:r>
        <w:continuationSeparator/>
      </w:r>
    </w:p>
  </w:footnote>
  <w:footnote w:id="1">
    <w:p w14:paraId="62DEF846" w14:textId="77777777" w:rsidR="00E34A1D" w:rsidRPr="00633EB3" w:rsidRDefault="00E34A1D" w:rsidP="00E34A1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E34A1D">
        <w:rPr>
          <w:rFonts w:ascii="Arial" w:hAnsi="Arial" w:cs="Arial"/>
          <w:sz w:val="18"/>
          <w:szCs w:val="18"/>
        </w:rPr>
        <w:t>§ 61 zákona č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Theme="majorHAnsi" w:hAnsiTheme="majorHAnsi"/>
        </w:rPr>
        <w:t>541/2020 Sb.</w:t>
      </w:r>
      <w:r w:rsidRPr="00E34A1D">
        <w:rPr>
          <w:rFonts w:ascii="Arial" w:hAnsi="Arial" w:cs="Arial"/>
          <w:sz w:val="18"/>
          <w:szCs w:val="18"/>
        </w:rPr>
        <w:t>, o odpadech</w:t>
      </w:r>
    </w:p>
  </w:footnote>
  <w:footnote w:id="2">
    <w:p w14:paraId="1EE78F0A" w14:textId="77777777" w:rsidR="00E34A1D" w:rsidRPr="00633EB3" w:rsidRDefault="00E34A1D" w:rsidP="00E34A1D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§ 60</w:t>
      </w:r>
      <w:r w:rsidRPr="00E34A1D">
        <w:rPr>
          <w:rFonts w:ascii="Arial" w:hAnsi="Arial" w:cs="Arial"/>
          <w:sz w:val="18"/>
          <w:szCs w:val="18"/>
        </w:rPr>
        <w:t xml:space="preserve"> zákona č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Theme="majorHAnsi" w:hAnsiTheme="majorHAnsi"/>
        </w:rPr>
        <w:t>541/2020 Sb.</w:t>
      </w:r>
      <w:r w:rsidRPr="00E34A1D">
        <w:rPr>
          <w:rFonts w:ascii="Arial" w:hAnsi="Arial" w:cs="Arial"/>
          <w:sz w:val="18"/>
          <w:szCs w:val="18"/>
        </w:rPr>
        <w:t>, o odpadech</w:t>
      </w:r>
    </w:p>
  </w:footnote>
  <w:footnote w:id="3">
    <w:p w14:paraId="346744E8" w14:textId="77777777" w:rsidR="00800127" w:rsidRPr="00633EB3" w:rsidRDefault="00800127" w:rsidP="00800127">
      <w:pPr>
        <w:pStyle w:val="Textpoznpodarou"/>
        <w:rPr>
          <w:rFonts w:ascii="Arial" w:hAnsi="Arial" w:cs="Arial"/>
          <w:sz w:val="18"/>
          <w:szCs w:val="18"/>
        </w:rPr>
      </w:pPr>
      <w:r w:rsidRPr="00633EB3">
        <w:rPr>
          <w:rStyle w:val="Znakapoznpodarou"/>
          <w:rFonts w:ascii="Arial" w:hAnsi="Arial" w:cs="Arial"/>
          <w:sz w:val="18"/>
          <w:szCs w:val="18"/>
        </w:rPr>
        <w:footnoteRef/>
      </w:r>
      <w:r w:rsidRPr="00633EB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B4E21">
        <w:rPr>
          <w:rFonts w:ascii="Arial" w:hAnsi="Arial" w:cs="Arial"/>
          <w:sz w:val="18"/>
          <w:szCs w:val="18"/>
        </w:rPr>
        <w:t>§ 66</w:t>
      </w:r>
      <w:r w:rsidR="009B4E21" w:rsidRPr="00E34A1D">
        <w:rPr>
          <w:rFonts w:ascii="Arial" w:hAnsi="Arial" w:cs="Arial"/>
          <w:sz w:val="18"/>
          <w:szCs w:val="18"/>
        </w:rPr>
        <w:t xml:space="preserve"> zákona č</w:t>
      </w:r>
      <w:r w:rsidR="009B4E21">
        <w:rPr>
          <w:rFonts w:ascii="Arial" w:hAnsi="Arial" w:cs="Arial"/>
          <w:sz w:val="18"/>
          <w:szCs w:val="18"/>
        </w:rPr>
        <w:t xml:space="preserve">. </w:t>
      </w:r>
      <w:r w:rsidR="009B4E21">
        <w:rPr>
          <w:rFonts w:asciiTheme="majorHAnsi" w:hAnsiTheme="majorHAnsi"/>
        </w:rPr>
        <w:t>541/2020 Sb.</w:t>
      </w:r>
      <w:r w:rsidR="009B4E21" w:rsidRPr="00E34A1D">
        <w:rPr>
          <w:rFonts w:ascii="Arial" w:hAnsi="Arial" w:cs="Arial"/>
          <w:sz w:val="18"/>
          <w:szCs w:val="18"/>
        </w:rPr>
        <w:t>,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Ö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CC353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9E70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E6137F5"/>
    <w:multiLevelType w:val="hybridMultilevel"/>
    <w:tmpl w:val="D83C308A"/>
    <w:lvl w:ilvl="0" w:tplc="D7B287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0418"/>
    <w:multiLevelType w:val="hybridMultilevel"/>
    <w:tmpl w:val="B4000642"/>
    <w:lvl w:ilvl="0" w:tplc="63C2901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7B480800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 w15:restartNumberingAfterBreak="0">
    <w:nsid w:val="33E80F53"/>
    <w:multiLevelType w:val="hybridMultilevel"/>
    <w:tmpl w:val="89F05302"/>
    <w:lvl w:ilvl="0" w:tplc="6FE4F640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1CE3D9B"/>
    <w:multiLevelType w:val="hybridMultilevel"/>
    <w:tmpl w:val="3B9E77D2"/>
    <w:lvl w:ilvl="0" w:tplc="947A79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443745AC"/>
    <w:multiLevelType w:val="hybridMultilevel"/>
    <w:tmpl w:val="59404D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202FD"/>
    <w:multiLevelType w:val="hybridMultilevel"/>
    <w:tmpl w:val="3C6AFC70"/>
    <w:lvl w:ilvl="0" w:tplc="2F145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5E6F04">
      <w:start w:val="1"/>
      <w:numFmt w:val="lowerLetter"/>
      <w:lvlText w:val="%2)"/>
      <w:lvlJc w:val="left"/>
      <w:pPr>
        <w:ind w:left="1695" w:hanging="61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51E83"/>
    <w:multiLevelType w:val="hybridMultilevel"/>
    <w:tmpl w:val="5BFADFE6"/>
    <w:lvl w:ilvl="0" w:tplc="F446CB3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422D4"/>
    <w:multiLevelType w:val="hybridMultilevel"/>
    <w:tmpl w:val="A2262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544D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70E0C3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3D1D43"/>
    <w:multiLevelType w:val="hybridMultilevel"/>
    <w:tmpl w:val="CAAA93BC"/>
    <w:lvl w:ilvl="0" w:tplc="2F145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B606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F8D366D"/>
    <w:multiLevelType w:val="multilevel"/>
    <w:tmpl w:val="4AC60C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6" w15:restartNumberingAfterBreak="0">
    <w:nsid w:val="722956EF"/>
    <w:multiLevelType w:val="multilevel"/>
    <w:tmpl w:val="164E2B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4A23434"/>
    <w:multiLevelType w:val="hybridMultilevel"/>
    <w:tmpl w:val="BCF6D994"/>
    <w:lvl w:ilvl="0" w:tplc="725803E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7D805CBF"/>
    <w:multiLevelType w:val="hybridMultilevel"/>
    <w:tmpl w:val="94DC2E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16801">
    <w:abstractNumId w:val="4"/>
  </w:num>
  <w:num w:numId="2" w16cid:durableId="1175263798">
    <w:abstractNumId w:val="14"/>
  </w:num>
  <w:num w:numId="3" w16cid:durableId="1813134225">
    <w:abstractNumId w:val="8"/>
  </w:num>
  <w:num w:numId="4" w16cid:durableId="1973048807">
    <w:abstractNumId w:val="17"/>
  </w:num>
  <w:num w:numId="5" w16cid:durableId="1291403832">
    <w:abstractNumId w:val="1"/>
  </w:num>
  <w:num w:numId="6" w16cid:durableId="1071928769">
    <w:abstractNumId w:val="6"/>
  </w:num>
  <w:num w:numId="7" w16cid:durableId="382602782">
    <w:abstractNumId w:val="9"/>
  </w:num>
  <w:num w:numId="8" w16cid:durableId="1415664729">
    <w:abstractNumId w:val="2"/>
  </w:num>
  <w:num w:numId="9" w16cid:durableId="1272859377">
    <w:abstractNumId w:val="5"/>
  </w:num>
  <w:num w:numId="10" w16cid:durableId="228804564">
    <w:abstractNumId w:val="13"/>
  </w:num>
  <w:num w:numId="11" w16cid:durableId="2015037704">
    <w:abstractNumId w:val="12"/>
  </w:num>
  <w:num w:numId="12" w16cid:durableId="1193307048">
    <w:abstractNumId w:val="10"/>
  </w:num>
  <w:num w:numId="13" w16cid:durableId="39483286">
    <w:abstractNumId w:val="11"/>
  </w:num>
  <w:num w:numId="14" w16cid:durableId="1752123423">
    <w:abstractNumId w:val="16"/>
  </w:num>
  <w:num w:numId="15" w16cid:durableId="844586520">
    <w:abstractNumId w:val="18"/>
  </w:num>
  <w:num w:numId="16" w16cid:durableId="1305964110">
    <w:abstractNumId w:val="7"/>
  </w:num>
  <w:num w:numId="17" w16cid:durableId="1909462260">
    <w:abstractNumId w:val="3"/>
  </w:num>
  <w:num w:numId="18" w16cid:durableId="880551925">
    <w:abstractNumId w:val="15"/>
  </w:num>
  <w:num w:numId="19" w16cid:durableId="1410153746">
    <w:abstractNumId w:val="15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7D"/>
    <w:rsid w:val="00003545"/>
    <w:rsid w:val="000136F6"/>
    <w:rsid w:val="0005197B"/>
    <w:rsid w:val="0005422E"/>
    <w:rsid w:val="0007445C"/>
    <w:rsid w:val="00094C3A"/>
    <w:rsid w:val="000C01D1"/>
    <w:rsid w:val="000C08CA"/>
    <w:rsid w:val="000C2263"/>
    <w:rsid w:val="000D1576"/>
    <w:rsid w:val="001056CA"/>
    <w:rsid w:val="0010655B"/>
    <w:rsid w:val="00154555"/>
    <w:rsid w:val="00156239"/>
    <w:rsid w:val="001753F4"/>
    <w:rsid w:val="001973B8"/>
    <w:rsid w:val="001A7A0D"/>
    <w:rsid w:val="001D132C"/>
    <w:rsid w:val="001E5C08"/>
    <w:rsid w:val="00214AE9"/>
    <w:rsid w:val="0021693D"/>
    <w:rsid w:val="00256F81"/>
    <w:rsid w:val="002607CD"/>
    <w:rsid w:val="00263BA0"/>
    <w:rsid w:val="00276382"/>
    <w:rsid w:val="00281E29"/>
    <w:rsid w:val="0029375C"/>
    <w:rsid w:val="002E2E05"/>
    <w:rsid w:val="002E4CD1"/>
    <w:rsid w:val="002F456F"/>
    <w:rsid w:val="00305951"/>
    <w:rsid w:val="003152D2"/>
    <w:rsid w:val="00344FDD"/>
    <w:rsid w:val="00350012"/>
    <w:rsid w:val="003602BB"/>
    <w:rsid w:val="00365498"/>
    <w:rsid w:val="00373CBD"/>
    <w:rsid w:val="00375D4C"/>
    <w:rsid w:val="003820C1"/>
    <w:rsid w:val="00391D7D"/>
    <w:rsid w:val="003A76E9"/>
    <w:rsid w:val="003E32A0"/>
    <w:rsid w:val="003E37DF"/>
    <w:rsid w:val="003E41F4"/>
    <w:rsid w:val="00404C03"/>
    <w:rsid w:val="00430DB2"/>
    <w:rsid w:val="004434DF"/>
    <w:rsid w:val="0044646A"/>
    <w:rsid w:val="00446518"/>
    <w:rsid w:val="00460017"/>
    <w:rsid w:val="004714D8"/>
    <w:rsid w:val="00474499"/>
    <w:rsid w:val="00476341"/>
    <w:rsid w:val="00477F2F"/>
    <w:rsid w:val="004B6BBA"/>
    <w:rsid w:val="004C046F"/>
    <w:rsid w:val="004D15F3"/>
    <w:rsid w:val="004E460B"/>
    <w:rsid w:val="00505CE1"/>
    <w:rsid w:val="005232F3"/>
    <w:rsid w:val="00540EA8"/>
    <w:rsid w:val="005413B8"/>
    <w:rsid w:val="005419F0"/>
    <w:rsid w:val="00567C44"/>
    <w:rsid w:val="0057472F"/>
    <w:rsid w:val="0057685D"/>
    <w:rsid w:val="005B32E5"/>
    <w:rsid w:val="005B5FD4"/>
    <w:rsid w:val="005D7DC8"/>
    <w:rsid w:val="005E1014"/>
    <w:rsid w:val="005F34C5"/>
    <w:rsid w:val="0060402A"/>
    <w:rsid w:val="006237FE"/>
    <w:rsid w:val="0068270D"/>
    <w:rsid w:val="00683DD3"/>
    <w:rsid w:val="006B2B60"/>
    <w:rsid w:val="006C1D94"/>
    <w:rsid w:val="006C37E6"/>
    <w:rsid w:val="006D72A1"/>
    <w:rsid w:val="006F3E7C"/>
    <w:rsid w:val="007061CC"/>
    <w:rsid w:val="00714018"/>
    <w:rsid w:val="00736647"/>
    <w:rsid w:val="00737F9D"/>
    <w:rsid w:val="00753D2F"/>
    <w:rsid w:val="00774C7D"/>
    <w:rsid w:val="007863D4"/>
    <w:rsid w:val="007B178E"/>
    <w:rsid w:val="007B1CB8"/>
    <w:rsid w:val="007D0E89"/>
    <w:rsid w:val="007D1A3C"/>
    <w:rsid w:val="007D2E2B"/>
    <w:rsid w:val="007E042B"/>
    <w:rsid w:val="00800127"/>
    <w:rsid w:val="008271CC"/>
    <w:rsid w:val="00830140"/>
    <w:rsid w:val="00833881"/>
    <w:rsid w:val="00833884"/>
    <w:rsid w:val="008517CA"/>
    <w:rsid w:val="00852EF4"/>
    <w:rsid w:val="00856A7A"/>
    <w:rsid w:val="00865474"/>
    <w:rsid w:val="00873113"/>
    <w:rsid w:val="008771BF"/>
    <w:rsid w:val="008816AB"/>
    <w:rsid w:val="008939A7"/>
    <w:rsid w:val="008956E9"/>
    <w:rsid w:val="008A2C2D"/>
    <w:rsid w:val="008C254D"/>
    <w:rsid w:val="008C5BAE"/>
    <w:rsid w:val="008C70F4"/>
    <w:rsid w:val="008F1E52"/>
    <w:rsid w:val="00917041"/>
    <w:rsid w:val="00922DC4"/>
    <w:rsid w:val="00925235"/>
    <w:rsid w:val="00925580"/>
    <w:rsid w:val="00946522"/>
    <w:rsid w:val="00946DA3"/>
    <w:rsid w:val="009519C5"/>
    <w:rsid w:val="00961E6C"/>
    <w:rsid w:val="009655C1"/>
    <w:rsid w:val="00966081"/>
    <w:rsid w:val="00966F68"/>
    <w:rsid w:val="009671BC"/>
    <w:rsid w:val="0097065C"/>
    <w:rsid w:val="00985CFC"/>
    <w:rsid w:val="00987431"/>
    <w:rsid w:val="00991117"/>
    <w:rsid w:val="00992BF5"/>
    <w:rsid w:val="009B4E21"/>
    <w:rsid w:val="009C11F9"/>
    <w:rsid w:val="009D1483"/>
    <w:rsid w:val="009F5A24"/>
    <w:rsid w:val="00A13EB6"/>
    <w:rsid w:val="00A2425D"/>
    <w:rsid w:val="00A261F7"/>
    <w:rsid w:val="00A31ABE"/>
    <w:rsid w:val="00A33659"/>
    <w:rsid w:val="00A33D3A"/>
    <w:rsid w:val="00A37DD6"/>
    <w:rsid w:val="00A54B69"/>
    <w:rsid w:val="00A55105"/>
    <w:rsid w:val="00A62575"/>
    <w:rsid w:val="00A80880"/>
    <w:rsid w:val="00A8445F"/>
    <w:rsid w:val="00A85304"/>
    <w:rsid w:val="00A93D3A"/>
    <w:rsid w:val="00AB727D"/>
    <w:rsid w:val="00AC5132"/>
    <w:rsid w:val="00AD1302"/>
    <w:rsid w:val="00AD6941"/>
    <w:rsid w:val="00AD6D95"/>
    <w:rsid w:val="00AE214B"/>
    <w:rsid w:val="00AE6C2F"/>
    <w:rsid w:val="00B02AD9"/>
    <w:rsid w:val="00B03164"/>
    <w:rsid w:val="00B04B02"/>
    <w:rsid w:val="00B41F39"/>
    <w:rsid w:val="00B42450"/>
    <w:rsid w:val="00B55A89"/>
    <w:rsid w:val="00B71BC7"/>
    <w:rsid w:val="00B73F1C"/>
    <w:rsid w:val="00B81762"/>
    <w:rsid w:val="00B91F9F"/>
    <w:rsid w:val="00BA2D11"/>
    <w:rsid w:val="00BE0C92"/>
    <w:rsid w:val="00BF06E9"/>
    <w:rsid w:val="00C0489F"/>
    <w:rsid w:val="00C256C7"/>
    <w:rsid w:val="00C2676D"/>
    <w:rsid w:val="00C35B4D"/>
    <w:rsid w:val="00C55F1C"/>
    <w:rsid w:val="00C71993"/>
    <w:rsid w:val="00C740BD"/>
    <w:rsid w:val="00C90DCB"/>
    <w:rsid w:val="00C97A62"/>
    <w:rsid w:val="00CB2D66"/>
    <w:rsid w:val="00CB3042"/>
    <w:rsid w:val="00CD05FF"/>
    <w:rsid w:val="00CD2CCF"/>
    <w:rsid w:val="00CE2D70"/>
    <w:rsid w:val="00D171FF"/>
    <w:rsid w:val="00D55A9D"/>
    <w:rsid w:val="00D62E5E"/>
    <w:rsid w:val="00D81E78"/>
    <w:rsid w:val="00DA4583"/>
    <w:rsid w:val="00DA62E9"/>
    <w:rsid w:val="00DB38EF"/>
    <w:rsid w:val="00DB59B1"/>
    <w:rsid w:val="00DC0901"/>
    <w:rsid w:val="00DC3352"/>
    <w:rsid w:val="00E12B1E"/>
    <w:rsid w:val="00E14213"/>
    <w:rsid w:val="00E2451D"/>
    <w:rsid w:val="00E34A1D"/>
    <w:rsid w:val="00E61F6D"/>
    <w:rsid w:val="00E84D19"/>
    <w:rsid w:val="00E90217"/>
    <w:rsid w:val="00E93D7D"/>
    <w:rsid w:val="00EA1E51"/>
    <w:rsid w:val="00EA2E9F"/>
    <w:rsid w:val="00EB3AC6"/>
    <w:rsid w:val="00EB7376"/>
    <w:rsid w:val="00EC4880"/>
    <w:rsid w:val="00ED2020"/>
    <w:rsid w:val="00ED6E1D"/>
    <w:rsid w:val="00ED719D"/>
    <w:rsid w:val="00ED76F7"/>
    <w:rsid w:val="00F2372A"/>
    <w:rsid w:val="00F530B0"/>
    <w:rsid w:val="00F566A1"/>
    <w:rsid w:val="00F9465B"/>
    <w:rsid w:val="00F95F11"/>
    <w:rsid w:val="00F96208"/>
    <w:rsid w:val="00FA04F6"/>
    <w:rsid w:val="00FA2B82"/>
    <w:rsid w:val="00FA5D69"/>
    <w:rsid w:val="00FB14A8"/>
    <w:rsid w:val="00FC6793"/>
    <w:rsid w:val="00FE7127"/>
    <w:rsid w:val="00FE7597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D1553D"/>
  <w14:defaultImageDpi w14:val="0"/>
  <w15:docId w15:val="{7541B10F-611E-48B0-AEA9-298DDA509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32"/>
      <w:szCs w:val="32"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sz w:val="28"/>
      <w:szCs w:val="28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jc w:val="center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jc w:val="righ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  <w:outlineLvl w:val="0"/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table" w:styleId="Mkatabulky">
    <w:name w:val="Table Grid"/>
    <w:basedOn w:val="Normlntabulka"/>
    <w:uiPriority w:val="99"/>
    <w:rsid w:val="00EA2E9F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uiPriority w:val="99"/>
    <w:rsid w:val="00BA2D11"/>
    <w:pPr>
      <w:autoSpaceDE/>
      <w:autoSpaceDN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EB6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3EB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13EB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3E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256C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F45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56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56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5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56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56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F0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06E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F06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06E9"/>
    <w:rPr>
      <w:sz w:val="20"/>
      <w:szCs w:val="20"/>
    </w:rPr>
  </w:style>
  <w:style w:type="paragraph" w:customStyle="1" w:styleId="Odstavec">
    <w:name w:val="Odstavec"/>
    <w:basedOn w:val="Normln"/>
    <w:rsid w:val="0057472F"/>
    <w:pPr>
      <w:tabs>
        <w:tab w:val="left" w:pos="567"/>
      </w:tabs>
      <w:suppressAutoHyphens/>
      <w:autoSpaceDE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57472F"/>
    <w:pPr>
      <w:widowControl w:val="0"/>
      <w:suppressLineNumbers/>
      <w:suppressAutoHyphens/>
      <w:autoSpaceDE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2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627FE-A918-439E-AE16-3A1C1C64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1311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- MĚSTO ……</vt:lpstr>
    </vt:vector>
  </TitlesOfParts>
  <Company>OkÚ Třebíč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- MĚSTO ……</dc:title>
  <dc:creator>Miloslav Holub</dc:creator>
  <cp:lastModifiedBy>Zdeněk Ryšavý</cp:lastModifiedBy>
  <cp:revision>5</cp:revision>
  <cp:lastPrinted>2019-11-15T06:11:00Z</cp:lastPrinted>
  <dcterms:created xsi:type="dcterms:W3CDTF">2025-12-03T14:21:00Z</dcterms:created>
  <dcterms:modified xsi:type="dcterms:W3CDTF">2025-12-03T14:43:00Z</dcterms:modified>
</cp:coreProperties>
</file>