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F007E5" w14:textId="77777777" w:rsidR="00B97059" w:rsidRPr="00CA6F20" w:rsidRDefault="00B97059" w:rsidP="00B97059">
      <w:pPr>
        <w:pStyle w:val="Default"/>
        <w:rPr>
          <w:b/>
          <w:bCs/>
          <w:color w:val="FF0000"/>
          <w:spacing w:val="36"/>
          <w:sz w:val="32"/>
          <w:szCs w:val="32"/>
        </w:rPr>
      </w:pPr>
    </w:p>
    <w:p w14:paraId="7D6BC730" w14:textId="77777777" w:rsidR="00B97059" w:rsidRDefault="00B97059" w:rsidP="00B97059">
      <w:pPr>
        <w:pStyle w:val="Default"/>
        <w:jc w:val="center"/>
        <w:rPr>
          <w:b/>
          <w:bCs/>
          <w:color w:val="auto"/>
          <w:spacing w:val="36"/>
          <w:sz w:val="32"/>
          <w:szCs w:val="32"/>
        </w:rPr>
      </w:pPr>
      <w:r w:rsidRPr="00D21E50">
        <w:rPr>
          <w:b/>
          <w:noProof/>
          <w:sz w:val="32"/>
          <w:szCs w:val="32"/>
        </w:rPr>
        <w:drawing>
          <wp:anchor distT="0" distB="0" distL="114300" distR="114300" simplePos="0" relativeHeight="251659264" behindDoc="0" locked="0" layoutInCell="1" allowOverlap="1" wp14:anchorId="4B0E2B3C" wp14:editId="799D7BA7">
            <wp:simplePos x="0" y="0"/>
            <wp:positionH relativeFrom="column">
              <wp:posOffset>0</wp:posOffset>
            </wp:positionH>
            <wp:positionV relativeFrom="paragraph">
              <wp:posOffset>0</wp:posOffset>
            </wp:positionV>
            <wp:extent cx="800100" cy="1028700"/>
            <wp:effectExtent l="0" t="0" r="0" b="0"/>
            <wp:wrapSquare wrapText="r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46B37">
        <w:rPr>
          <w:b/>
          <w:bCs/>
          <w:color w:val="auto"/>
          <w:spacing w:val="36"/>
          <w:sz w:val="32"/>
          <w:szCs w:val="32"/>
        </w:rPr>
        <w:t>Statutární město Přerov</w:t>
      </w:r>
    </w:p>
    <w:p w14:paraId="2AC564F7" w14:textId="77777777" w:rsidR="00B97059" w:rsidRPr="00446B37" w:rsidRDefault="00B97059" w:rsidP="00B97059">
      <w:pPr>
        <w:pStyle w:val="Default"/>
        <w:jc w:val="center"/>
        <w:rPr>
          <w:b/>
          <w:bCs/>
          <w:color w:val="auto"/>
          <w:spacing w:val="36"/>
          <w:sz w:val="32"/>
          <w:szCs w:val="32"/>
        </w:rPr>
      </w:pPr>
      <w:r>
        <w:rPr>
          <w:b/>
          <w:bCs/>
          <w:color w:val="auto"/>
          <w:spacing w:val="36"/>
          <w:sz w:val="32"/>
          <w:szCs w:val="32"/>
        </w:rPr>
        <w:t>Rada města Přerova</w:t>
      </w:r>
    </w:p>
    <w:p w14:paraId="71BF1A30" w14:textId="77777777" w:rsidR="00B97059" w:rsidRPr="00446B37" w:rsidRDefault="00B97059" w:rsidP="00B97059">
      <w:pPr>
        <w:pStyle w:val="Default"/>
        <w:jc w:val="center"/>
        <w:rPr>
          <w:b/>
          <w:bCs/>
          <w:color w:val="auto"/>
          <w:spacing w:val="36"/>
          <w:sz w:val="32"/>
          <w:szCs w:val="32"/>
        </w:rPr>
      </w:pPr>
    </w:p>
    <w:p w14:paraId="4B5CA80F" w14:textId="16C7321C" w:rsidR="00B97059" w:rsidRPr="00446B37" w:rsidRDefault="00B97059" w:rsidP="00B97059">
      <w:pPr>
        <w:pStyle w:val="Default"/>
        <w:jc w:val="center"/>
        <w:rPr>
          <w:b/>
          <w:bCs/>
          <w:color w:val="auto"/>
          <w:spacing w:val="36"/>
          <w:sz w:val="32"/>
          <w:szCs w:val="32"/>
        </w:rPr>
      </w:pPr>
      <w:r w:rsidRPr="00446B37">
        <w:rPr>
          <w:b/>
          <w:bCs/>
          <w:color w:val="auto"/>
          <w:spacing w:val="36"/>
          <w:sz w:val="32"/>
          <w:szCs w:val="32"/>
        </w:rPr>
        <w:t xml:space="preserve">Nařízení města Přerova č. </w:t>
      </w:r>
      <w:r w:rsidR="007D4A40">
        <w:rPr>
          <w:b/>
          <w:bCs/>
          <w:color w:val="auto"/>
          <w:spacing w:val="36"/>
          <w:sz w:val="32"/>
          <w:szCs w:val="32"/>
        </w:rPr>
        <w:t>1</w:t>
      </w:r>
      <w:r w:rsidRPr="00446B37">
        <w:rPr>
          <w:b/>
          <w:bCs/>
          <w:color w:val="auto"/>
          <w:spacing w:val="36"/>
          <w:sz w:val="32"/>
          <w:szCs w:val="32"/>
        </w:rPr>
        <w:t>/20</w:t>
      </w:r>
      <w:r>
        <w:rPr>
          <w:b/>
          <w:bCs/>
          <w:color w:val="auto"/>
          <w:spacing w:val="36"/>
          <w:sz w:val="32"/>
          <w:szCs w:val="32"/>
        </w:rPr>
        <w:t>23</w:t>
      </w:r>
      <w:r w:rsidRPr="00446B37">
        <w:rPr>
          <w:b/>
          <w:bCs/>
          <w:color w:val="auto"/>
          <w:spacing w:val="36"/>
          <w:sz w:val="32"/>
          <w:szCs w:val="32"/>
        </w:rPr>
        <w:t>, kterým</w:t>
      </w:r>
      <w:r>
        <w:rPr>
          <w:b/>
          <w:bCs/>
          <w:color w:val="auto"/>
          <w:spacing w:val="36"/>
          <w:sz w:val="32"/>
          <w:szCs w:val="32"/>
        </w:rPr>
        <w:t xml:space="preserve"> se mění Nařízení města Přerova č. 5/2022, kterým</w:t>
      </w:r>
      <w:r w:rsidRPr="00446B37">
        <w:rPr>
          <w:b/>
          <w:bCs/>
          <w:color w:val="auto"/>
          <w:spacing w:val="36"/>
          <w:sz w:val="32"/>
          <w:szCs w:val="32"/>
        </w:rPr>
        <w:t xml:space="preserve"> se vydává tržní řád</w:t>
      </w:r>
    </w:p>
    <w:p w14:paraId="3CA834C5" w14:textId="77777777" w:rsidR="00B97059" w:rsidRPr="00446B37" w:rsidRDefault="00B97059" w:rsidP="00B97059">
      <w:pPr>
        <w:pStyle w:val="Default"/>
        <w:rPr>
          <w:b/>
          <w:bCs/>
          <w:color w:val="auto"/>
          <w:spacing w:val="36"/>
          <w:sz w:val="28"/>
          <w:szCs w:val="28"/>
        </w:rPr>
      </w:pPr>
    </w:p>
    <w:p w14:paraId="1BFD43EF" w14:textId="77777777" w:rsidR="00B97059" w:rsidRPr="00446B37" w:rsidRDefault="00B97059" w:rsidP="00B97059">
      <w:pPr>
        <w:pStyle w:val="Default"/>
        <w:jc w:val="center"/>
        <w:rPr>
          <w:b/>
          <w:bCs/>
          <w:color w:val="auto"/>
          <w:spacing w:val="36"/>
          <w:sz w:val="28"/>
          <w:szCs w:val="28"/>
        </w:rPr>
      </w:pPr>
    </w:p>
    <w:p w14:paraId="5E23DD8C" w14:textId="7228D3A8" w:rsidR="00B97059" w:rsidRPr="007C3628" w:rsidRDefault="00B97059" w:rsidP="00B97059">
      <w:pPr>
        <w:pStyle w:val="Default"/>
        <w:jc w:val="both"/>
        <w:rPr>
          <w:color w:val="auto"/>
          <w:sz w:val="22"/>
          <w:szCs w:val="22"/>
        </w:rPr>
      </w:pPr>
      <w:r w:rsidRPr="007C3628">
        <w:rPr>
          <w:bCs/>
          <w:color w:val="auto"/>
          <w:sz w:val="22"/>
          <w:szCs w:val="22"/>
        </w:rPr>
        <w:t xml:space="preserve">Rada města Přerova se na své </w:t>
      </w:r>
      <w:r w:rsidR="00235D93">
        <w:rPr>
          <w:bCs/>
          <w:color w:val="auto"/>
          <w:sz w:val="22"/>
          <w:szCs w:val="22"/>
        </w:rPr>
        <w:t>1</w:t>
      </w:r>
      <w:r w:rsidR="009F69C7">
        <w:rPr>
          <w:bCs/>
          <w:color w:val="auto"/>
          <w:sz w:val="22"/>
          <w:szCs w:val="22"/>
        </w:rPr>
        <w:t>1</w:t>
      </w:r>
      <w:r w:rsidR="00235D93">
        <w:rPr>
          <w:bCs/>
          <w:color w:val="auto"/>
          <w:sz w:val="22"/>
          <w:szCs w:val="22"/>
        </w:rPr>
        <w:t>.</w:t>
      </w:r>
      <w:r w:rsidRPr="007C3628">
        <w:rPr>
          <w:bCs/>
          <w:color w:val="auto"/>
          <w:sz w:val="22"/>
          <w:szCs w:val="22"/>
        </w:rPr>
        <w:t xml:space="preserve"> schůzi konané dne </w:t>
      </w:r>
      <w:r w:rsidR="00907299">
        <w:rPr>
          <w:bCs/>
          <w:color w:val="auto"/>
          <w:sz w:val="22"/>
          <w:szCs w:val="22"/>
        </w:rPr>
        <w:t xml:space="preserve">6.3.2023 </w:t>
      </w:r>
      <w:r w:rsidRPr="007C3628">
        <w:rPr>
          <w:bCs/>
          <w:color w:val="auto"/>
          <w:sz w:val="22"/>
          <w:szCs w:val="22"/>
        </w:rPr>
        <w:t xml:space="preserve">usnesením č. </w:t>
      </w:r>
      <w:r w:rsidR="007D4A40">
        <w:rPr>
          <w:bCs/>
          <w:color w:val="auto"/>
          <w:sz w:val="22"/>
          <w:szCs w:val="22"/>
        </w:rPr>
        <w:t>368/11/10/</w:t>
      </w:r>
      <w:r w:rsidR="00153467">
        <w:rPr>
          <w:bCs/>
          <w:color w:val="auto"/>
          <w:sz w:val="22"/>
          <w:szCs w:val="22"/>
        </w:rPr>
        <w:t>2023</w:t>
      </w:r>
      <w:r w:rsidRPr="007C3628">
        <w:rPr>
          <w:bCs/>
          <w:color w:val="auto"/>
          <w:sz w:val="22"/>
          <w:szCs w:val="22"/>
        </w:rPr>
        <w:t xml:space="preserve"> usnesla vydat na základě ustanovení § 18 zákona č. 455/1991 Sb., o živnostenském podnikání (živnostenský zákon), ve znění pozdějších předpisů, a v souladu s § 11 odst. 1 a § 102 odst. 2 písm. d) zákona č. 128/2000 Sb., o obcích (obecní zřízení), v znění pozdějších předpisů, toto nařízení:  </w:t>
      </w:r>
    </w:p>
    <w:p w14:paraId="20F726C4" w14:textId="77777777" w:rsidR="00B97059" w:rsidRPr="00B97059" w:rsidRDefault="00B97059" w:rsidP="00B97059">
      <w:pPr>
        <w:pStyle w:val="Default"/>
        <w:spacing w:before="160"/>
        <w:jc w:val="center"/>
        <w:rPr>
          <w:b/>
          <w:bCs/>
          <w:color w:val="auto"/>
        </w:rPr>
      </w:pPr>
    </w:p>
    <w:p w14:paraId="4496FE0D" w14:textId="77777777" w:rsidR="00B97059" w:rsidRPr="007C3628" w:rsidRDefault="00B97059" w:rsidP="00B97059">
      <w:pPr>
        <w:pStyle w:val="Default"/>
        <w:spacing w:before="160"/>
        <w:jc w:val="center"/>
        <w:rPr>
          <w:b/>
          <w:bCs/>
          <w:color w:val="auto"/>
          <w:sz w:val="22"/>
          <w:szCs w:val="22"/>
        </w:rPr>
      </w:pPr>
      <w:r w:rsidRPr="007C3628">
        <w:rPr>
          <w:b/>
          <w:bCs/>
          <w:color w:val="auto"/>
          <w:sz w:val="22"/>
          <w:szCs w:val="22"/>
        </w:rPr>
        <w:t xml:space="preserve">Článek 1 </w:t>
      </w:r>
    </w:p>
    <w:p w14:paraId="69E67356" w14:textId="38C67C1D" w:rsidR="00B97059" w:rsidRPr="007C3628" w:rsidRDefault="00B97059" w:rsidP="00B97059">
      <w:pPr>
        <w:pStyle w:val="Default"/>
        <w:spacing w:before="160"/>
        <w:rPr>
          <w:color w:val="auto"/>
          <w:sz w:val="22"/>
          <w:szCs w:val="22"/>
        </w:rPr>
      </w:pPr>
      <w:r w:rsidRPr="007C3628">
        <w:rPr>
          <w:color w:val="auto"/>
          <w:sz w:val="22"/>
          <w:szCs w:val="22"/>
        </w:rPr>
        <w:t>Nařízení města Přerova č. 5/2022, kterým se vydává tržní řád, se mění takto:</w:t>
      </w:r>
    </w:p>
    <w:p w14:paraId="5C126281" w14:textId="3984DAB1" w:rsidR="00B97059" w:rsidRPr="007C3628" w:rsidRDefault="00B97059" w:rsidP="00B97059">
      <w:pPr>
        <w:pStyle w:val="Default"/>
        <w:numPr>
          <w:ilvl w:val="0"/>
          <w:numId w:val="13"/>
        </w:numPr>
        <w:spacing w:before="160"/>
        <w:rPr>
          <w:color w:val="auto"/>
          <w:sz w:val="22"/>
          <w:szCs w:val="22"/>
        </w:rPr>
      </w:pPr>
      <w:r w:rsidRPr="007C3628">
        <w:rPr>
          <w:color w:val="auto"/>
          <w:sz w:val="22"/>
          <w:szCs w:val="22"/>
        </w:rPr>
        <w:t>V článku 3 odst. 1 písm. b) zní:</w:t>
      </w:r>
    </w:p>
    <w:p w14:paraId="0057DBBC" w14:textId="77777777" w:rsidR="00B97059" w:rsidRPr="007C3628" w:rsidRDefault="00B97059" w:rsidP="00B97059">
      <w:pPr>
        <w:rPr>
          <w:sz w:val="22"/>
          <w:szCs w:val="22"/>
        </w:rPr>
      </w:pPr>
    </w:p>
    <w:p w14:paraId="4595645C" w14:textId="10D38408" w:rsidR="00B97059" w:rsidRPr="007C3628" w:rsidRDefault="00B97059" w:rsidP="00B97059">
      <w:pPr>
        <w:ind w:left="426"/>
        <w:rPr>
          <w:sz w:val="22"/>
          <w:szCs w:val="22"/>
        </w:rPr>
      </w:pPr>
      <w:r w:rsidRPr="007C3628">
        <w:rPr>
          <w:sz w:val="22"/>
          <w:szCs w:val="22"/>
        </w:rPr>
        <w:t>„b) tržiště, na kterých lze prodávat ovoce, zeleninu, med, ostatní potraviny, knihy, hračky, kuchyňské zboží, rukodělné výrobky (např. keramika, ozdobné předměty, proutěné zboží apod.), brašnářské výrobky, sazenice, věnce, kytice, květiny, kraslice, jmelí, chvojí, textil, oděvy, obuv, hodinky, brýle, drogistické zboží a poskytovat tyto služby – broušení nožů, nůžek a nářadí, opravy obuvi a brašnářského zboží, opravy deštníků, opravy sportovního nářadí. Jejich umístění, kapacita a vybavenost se stanovuje takto:</w:t>
      </w:r>
    </w:p>
    <w:p w14:paraId="0F37E595" w14:textId="77777777" w:rsidR="00B97059" w:rsidRPr="00E81973" w:rsidRDefault="00B97059" w:rsidP="00B97059">
      <w:pPr>
        <w:ind w:left="1200"/>
        <w:rPr>
          <w:sz w:val="22"/>
          <w:szCs w:val="22"/>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2590"/>
        <w:gridCol w:w="2677"/>
      </w:tblGrid>
      <w:tr w:rsidR="00B97059" w:rsidRPr="00B97059" w14:paraId="40599D1E" w14:textId="77777777" w:rsidTr="00B97059">
        <w:tc>
          <w:tcPr>
            <w:tcW w:w="2949" w:type="dxa"/>
            <w:shd w:val="clear" w:color="auto" w:fill="auto"/>
          </w:tcPr>
          <w:p w14:paraId="6E6F43EB" w14:textId="77777777" w:rsidR="00B97059" w:rsidRPr="00B97059" w:rsidRDefault="00B97059" w:rsidP="00713022">
            <w:pPr>
              <w:jc w:val="center"/>
              <w:rPr>
                <w:rFonts w:eastAsia="Calibri"/>
                <w:b/>
                <w:sz w:val="22"/>
                <w:szCs w:val="22"/>
              </w:rPr>
            </w:pPr>
            <w:r w:rsidRPr="00B97059">
              <w:rPr>
                <w:rFonts w:eastAsia="Calibri"/>
                <w:b/>
                <w:sz w:val="22"/>
                <w:szCs w:val="22"/>
              </w:rPr>
              <w:t>Lokalita</w:t>
            </w:r>
          </w:p>
        </w:tc>
        <w:tc>
          <w:tcPr>
            <w:tcW w:w="2590" w:type="dxa"/>
            <w:shd w:val="clear" w:color="auto" w:fill="auto"/>
          </w:tcPr>
          <w:p w14:paraId="3D8D7074" w14:textId="77777777" w:rsidR="00B97059" w:rsidRPr="00B97059" w:rsidRDefault="00B97059" w:rsidP="00713022">
            <w:pPr>
              <w:jc w:val="center"/>
              <w:rPr>
                <w:rFonts w:eastAsia="Calibri"/>
                <w:b/>
                <w:sz w:val="22"/>
                <w:szCs w:val="22"/>
              </w:rPr>
            </w:pPr>
            <w:r w:rsidRPr="00B97059">
              <w:rPr>
                <w:rFonts w:eastAsia="Calibri"/>
                <w:b/>
                <w:sz w:val="22"/>
                <w:szCs w:val="22"/>
              </w:rPr>
              <w:t>Kapacita tržních míst</w:t>
            </w:r>
          </w:p>
        </w:tc>
        <w:tc>
          <w:tcPr>
            <w:tcW w:w="2677" w:type="dxa"/>
            <w:shd w:val="clear" w:color="auto" w:fill="auto"/>
          </w:tcPr>
          <w:p w14:paraId="761FE323" w14:textId="77777777" w:rsidR="00B97059" w:rsidRPr="00B97059" w:rsidRDefault="00B97059" w:rsidP="00713022">
            <w:pPr>
              <w:jc w:val="center"/>
              <w:rPr>
                <w:rFonts w:eastAsia="Calibri"/>
                <w:b/>
                <w:sz w:val="22"/>
                <w:szCs w:val="22"/>
              </w:rPr>
            </w:pPr>
            <w:r w:rsidRPr="00B97059">
              <w:rPr>
                <w:rFonts w:eastAsia="Calibri"/>
                <w:b/>
                <w:sz w:val="22"/>
                <w:szCs w:val="22"/>
              </w:rPr>
              <w:t>Vybavenost</w:t>
            </w:r>
          </w:p>
        </w:tc>
      </w:tr>
      <w:tr w:rsidR="00B97059" w:rsidRPr="00B97059" w14:paraId="6AACE96A" w14:textId="77777777" w:rsidTr="00B97059">
        <w:tc>
          <w:tcPr>
            <w:tcW w:w="2949" w:type="dxa"/>
            <w:shd w:val="clear" w:color="auto" w:fill="auto"/>
          </w:tcPr>
          <w:p w14:paraId="48ED54D9" w14:textId="77777777" w:rsidR="00B97059" w:rsidRPr="00B97059" w:rsidRDefault="00B97059" w:rsidP="00713022">
            <w:pPr>
              <w:rPr>
                <w:rFonts w:eastAsia="Calibri"/>
                <w:sz w:val="22"/>
                <w:szCs w:val="22"/>
              </w:rPr>
            </w:pPr>
            <w:r w:rsidRPr="00B97059">
              <w:rPr>
                <w:rFonts w:eastAsia="Calibri"/>
                <w:sz w:val="22"/>
                <w:szCs w:val="22"/>
              </w:rPr>
              <w:t>ul. Velká Dlážka</w:t>
            </w:r>
          </w:p>
        </w:tc>
        <w:tc>
          <w:tcPr>
            <w:tcW w:w="2590" w:type="dxa"/>
            <w:shd w:val="clear" w:color="auto" w:fill="auto"/>
          </w:tcPr>
          <w:p w14:paraId="53DCF793" w14:textId="77777777" w:rsidR="00B97059" w:rsidRPr="00B97059" w:rsidRDefault="00B97059" w:rsidP="00713022">
            <w:pPr>
              <w:jc w:val="center"/>
              <w:rPr>
                <w:rFonts w:eastAsia="Calibri"/>
                <w:sz w:val="22"/>
                <w:szCs w:val="22"/>
              </w:rPr>
            </w:pPr>
            <w:r w:rsidRPr="00B97059">
              <w:rPr>
                <w:rFonts w:eastAsia="Calibri"/>
                <w:sz w:val="22"/>
                <w:szCs w:val="22"/>
              </w:rPr>
              <w:t>4</w:t>
            </w:r>
          </w:p>
        </w:tc>
        <w:tc>
          <w:tcPr>
            <w:tcW w:w="2677" w:type="dxa"/>
            <w:shd w:val="clear" w:color="auto" w:fill="auto"/>
          </w:tcPr>
          <w:p w14:paraId="5F12AE13" w14:textId="77777777" w:rsidR="00B97059" w:rsidRPr="00B97059" w:rsidRDefault="00B97059" w:rsidP="00713022">
            <w:pPr>
              <w:jc w:val="center"/>
              <w:rPr>
                <w:rFonts w:eastAsia="Calibri"/>
                <w:sz w:val="22"/>
                <w:szCs w:val="22"/>
              </w:rPr>
            </w:pPr>
            <w:r w:rsidRPr="00B97059">
              <w:rPr>
                <w:rFonts w:eastAsia="Calibri"/>
                <w:sz w:val="22"/>
                <w:szCs w:val="22"/>
              </w:rPr>
              <w:t>4 stánky provozovatele</w:t>
            </w:r>
          </w:p>
        </w:tc>
      </w:tr>
      <w:tr w:rsidR="00B97059" w:rsidRPr="00B97059" w14:paraId="4B8A5636" w14:textId="77777777" w:rsidTr="00B97059">
        <w:tc>
          <w:tcPr>
            <w:tcW w:w="2949" w:type="dxa"/>
            <w:shd w:val="clear" w:color="auto" w:fill="auto"/>
          </w:tcPr>
          <w:p w14:paraId="06837189" w14:textId="77777777" w:rsidR="00B97059" w:rsidRPr="00B97059" w:rsidRDefault="00B97059" w:rsidP="00713022">
            <w:pPr>
              <w:rPr>
                <w:rFonts w:eastAsia="Calibri"/>
                <w:sz w:val="22"/>
                <w:szCs w:val="22"/>
              </w:rPr>
            </w:pPr>
            <w:r w:rsidRPr="00B97059">
              <w:rPr>
                <w:rFonts w:eastAsia="Calibri"/>
                <w:sz w:val="22"/>
                <w:szCs w:val="22"/>
              </w:rPr>
              <w:t>ul. Trávník</w:t>
            </w:r>
          </w:p>
        </w:tc>
        <w:tc>
          <w:tcPr>
            <w:tcW w:w="2590" w:type="dxa"/>
            <w:shd w:val="clear" w:color="auto" w:fill="auto"/>
          </w:tcPr>
          <w:p w14:paraId="7BA74911" w14:textId="77777777" w:rsidR="00B97059" w:rsidRPr="00B97059" w:rsidRDefault="00B97059" w:rsidP="00713022">
            <w:pPr>
              <w:jc w:val="center"/>
              <w:rPr>
                <w:rFonts w:eastAsia="Calibri"/>
                <w:sz w:val="22"/>
                <w:szCs w:val="22"/>
              </w:rPr>
            </w:pPr>
            <w:r w:rsidRPr="00B97059">
              <w:rPr>
                <w:rFonts w:eastAsia="Calibri"/>
                <w:sz w:val="22"/>
                <w:szCs w:val="22"/>
              </w:rPr>
              <w:t>4</w:t>
            </w:r>
          </w:p>
        </w:tc>
        <w:tc>
          <w:tcPr>
            <w:tcW w:w="2677" w:type="dxa"/>
            <w:shd w:val="clear" w:color="auto" w:fill="auto"/>
          </w:tcPr>
          <w:p w14:paraId="5BAB0922" w14:textId="77777777" w:rsidR="00B97059" w:rsidRPr="00B97059" w:rsidRDefault="00B97059" w:rsidP="00713022">
            <w:pPr>
              <w:jc w:val="center"/>
              <w:rPr>
                <w:rFonts w:eastAsia="Calibri"/>
                <w:sz w:val="22"/>
                <w:szCs w:val="22"/>
              </w:rPr>
            </w:pPr>
            <w:r w:rsidRPr="00B97059">
              <w:rPr>
                <w:rFonts w:eastAsia="Calibri"/>
                <w:sz w:val="22"/>
                <w:szCs w:val="22"/>
              </w:rPr>
              <w:t>1 stánek provozovatele</w:t>
            </w:r>
          </w:p>
        </w:tc>
      </w:tr>
      <w:tr w:rsidR="00B97059" w:rsidRPr="00B97059" w14:paraId="371C5F78" w14:textId="77777777" w:rsidTr="00B97059">
        <w:tc>
          <w:tcPr>
            <w:tcW w:w="2949" w:type="dxa"/>
            <w:shd w:val="clear" w:color="auto" w:fill="auto"/>
          </w:tcPr>
          <w:p w14:paraId="151A2EEF" w14:textId="77777777" w:rsidR="00B97059" w:rsidRPr="00B97059" w:rsidRDefault="00B97059" w:rsidP="00713022">
            <w:pPr>
              <w:rPr>
                <w:rFonts w:eastAsia="Calibri"/>
                <w:sz w:val="22"/>
                <w:szCs w:val="22"/>
              </w:rPr>
            </w:pPr>
            <w:r w:rsidRPr="00B97059">
              <w:rPr>
                <w:rFonts w:eastAsia="Calibri"/>
                <w:sz w:val="22"/>
                <w:szCs w:val="22"/>
              </w:rPr>
              <w:t>nám. Přerovského povstání</w:t>
            </w:r>
          </w:p>
        </w:tc>
        <w:tc>
          <w:tcPr>
            <w:tcW w:w="2590" w:type="dxa"/>
            <w:shd w:val="clear" w:color="auto" w:fill="auto"/>
          </w:tcPr>
          <w:p w14:paraId="28874E15" w14:textId="77777777" w:rsidR="00B97059" w:rsidRPr="00B97059" w:rsidRDefault="00B97059" w:rsidP="00713022">
            <w:pPr>
              <w:jc w:val="center"/>
              <w:rPr>
                <w:rFonts w:eastAsia="Calibri"/>
                <w:sz w:val="22"/>
                <w:szCs w:val="22"/>
              </w:rPr>
            </w:pPr>
            <w:r w:rsidRPr="00B97059">
              <w:rPr>
                <w:rFonts w:eastAsia="Calibri"/>
                <w:sz w:val="22"/>
                <w:szCs w:val="22"/>
              </w:rPr>
              <w:t>8</w:t>
            </w:r>
          </w:p>
        </w:tc>
        <w:tc>
          <w:tcPr>
            <w:tcW w:w="2677" w:type="dxa"/>
            <w:shd w:val="clear" w:color="auto" w:fill="auto"/>
          </w:tcPr>
          <w:p w14:paraId="69CB4B80" w14:textId="6E3C4A12" w:rsidR="00B97059" w:rsidRPr="00B97059" w:rsidRDefault="00B97059" w:rsidP="00713022">
            <w:pPr>
              <w:jc w:val="center"/>
              <w:rPr>
                <w:rFonts w:eastAsia="Calibri"/>
                <w:sz w:val="22"/>
                <w:szCs w:val="22"/>
              </w:rPr>
            </w:pPr>
            <w:r>
              <w:rPr>
                <w:rFonts w:eastAsia="Calibri"/>
                <w:sz w:val="22"/>
                <w:szCs w:val="22"/>
              </w:rPr>
              <w:t>8</w:t>
            </w:r>
            <w:r w:rsidRPr="00B97059">
              <w:rPr>
                <w:rFonts w:eastAsia="Calibri"/>
                <w:sz w:val="22"/>
                <w:szCs w:val="22"/>
              </w:rPr>
              <w:t xml:space="preserve"> stánků provozovatele</w:t>
            </w:r>
          </w:p>
        </w:tc>
      </w:tr>
      <w:tr w:rsidR="00B97059" w:rsidRPr="00B97059" w14:paraId="13CD728B" w14:textId="77777777" w:rsidTr="00B97059">
        <w:tc>
          <w:tcPr>
            <w:tcW w:w="2949" w:type="dxa"/>
            <w:shd w:val="clear" w:color="auto" w:fill="auto"/>
          </w:tcPr>
          <w:p w14:paraId="56873CA2" w14:textId="77777777" w:rsidR="00B97059" w:rsidRPr="00B97059" w:rsidRDefault="00B97059" w:rsidP="00713022">
            <w:pPr>
              <w:rPr>
                <w:rFonts w:eastAsia="Calibri"/>
                <w:sz w:val="22"/>
                <w:szCs w:val="22"/>
              </w:rPr>
            </w:pPr>
            <w:r w:rsidRPr="00B97059">
              <w:rPr>
                <w:rFonts w:eastAsia="Calibri"/>
                <w:sz w:val="22"/>
                <w:szCs w:val="22"/>
              </w:rPr>
              <w:t>OD Kaufland</w:t>
            </w:r>
          </w:p>
        </w:tc>
        <w:tc>
          <w:tcPr>
            <w:tcW w:w="2590" w:type="dxa"/>
            <w:shd w:val="clear" w:color="auto" w:fill="auto"/>
          </w:tcPr>
          <w:p w14:paraId="1D2DFBFA" w14:textId="77777777" w:rsidR="00B97059" w:rsidRPr="00B97059" w:rsidRDefault="00B97059" w:rsidP="00713022">
            <w:pPr>
              <w:jc w:val="center"/>
              <w:rPr>
                <w:rFonts w:eastAsia="Calibri"/>
                <w:sz w:val="22"/>
                <w:szCs w:val="22"/>
              </w:rPr>
            </w:pPr>
            <w:r w:rsidRPr="00B97059">
              <w:rPr>
                <w:rFonts w:eastAsia="Calibri"/>
                <w:sz w:val="22"/>
                <w:szCs w:val="22"/>
              </w:rPr>
              <w:t>4</w:t>
            </w:r>
          </w:p>
        </w:tc>
        <w:tc>
          <w:tcPr>
            <w:tcW w:w="2677" w:type="dxa"/>
            <w:shd w:val="clear" w:color="auto" w:fill="auto"/>
          </w:tcPr>
          <w:p w14:paraId="08287998" w14:textId="77777777" w:rsidR="00B97059" w:rsidRPr="00B97059" w:rsidRDefault="00B97059" w:rsidP="00713022">
            <w:pPr>
              <w:jc w:val="center"/>
              <w:rPr>
                <w:rFonts w:eastAsia="Calibri"/>
                <w:sz w:val="22"/>
                <w:szCs w:val="22"/>
              </w:rPr>
            </w:pPr>
            <w:r w:rsidRPr="00B97059">
              <w:rPr>
                <w:rFonts w:eastAsia="Calibri"/>
                <w:sz w:val="22"/>
                <w:szCs w:val="22"/>
              </w:rPr>
              <w:t>2 stánky provozovatele</w:t>
            </w:r>
          </w:p>
        </w:tc>
      </w:tr>
    </w:tbl>
    <w:p w14:paraId="4BB00C6C" w14:textId="1D395EF5" w:rsidR="00B97059" w:rsidRPr="00B97059" w:rsidRDefault="00B97059" w:rsidP="00B97059">
      <w:pPr>
        <w:ind w:left="1200"/>
        <w:jc w:val="right"/>
        <w:rPr>
          <w:sz w:val="20"/>
        </w:rPr>
      </w:pPr>
      <w:r w:rsidRPr="00B97059">
        <w:rPr>
          <w:sz w:val="20"/>
        </w:rPr>
        <w:t>Tabulka č. 2</w:t>
      </w:r>
      <w:r>
        <w:rPr>
          <w:sz w:val="20"/>
        </w:rPr>
        <w:t>“</w:t>
      </w:r>
    </w:p>
    <w:p w14:paraId="3BD9617A" w14:textId="77777777" w:rsidR="00B97059" w:rsidRPr="00E81973" w:rsidRDefault="00B97059" w:rsidP="00B97059">
      <w:pPr>
        <w:ind w:left="1200"/>
        <w:jc w:val="right"/>
        <w:rPr>
          <w:sz w:val="20"/>
        </w:rPr>
      </w:pPr>
    </w:p>
    <w:p w14:paraId="5F1F0115" w14:textId="77777777" w:rsidR="00B97059" w:rsidRPr="002A4B8F" w:rsidRDefault="00B97059" w:rsidP="00B97059">
      <w:pPr>
        <w:suppressAutoHyphens w:val="0"/>
        <w:autoSpaceDE w:val="0"/>
        <w:autoSpaceDN w:val="0"/>
        <w:adjustRightInd w:val="0"/>
        <w:spacing w:line="240" w:lineRule="auto"/>
        <w:ind w:left="851"/>
        <w:contextualSpacing/>
        <w:rPr>
          <w:sz w:val="22"/>
          <w:szCs w:val="22"/>
        </w:rPr>
      </w:pPr>
    </w:p>
    <w:p w14:paraId="16638273" w14:textId="5A13DBBF" w:rsidR="00B97059" w:rsidRPr="007C3628" w:rsidRDefault="00B97059" w:rsidP="00B97059">
      <w:pPr>
        <w:pStyle w:val="Odstavecseseznamem"/>
        <w:numPr>
          <w:ilvl w:val="0"/>
          <w:numId w:val="13"/>
        </w:numPr>
        <w:tabs>
          <w:tab w:val="num" w:pos="1560"/>
        </w:tabs>
        <w:autoSpaceDE w:val="0"/>
        <w:autoSpaceDN w:val="0"/>
        <w:adjustRightInd w:val="0"/>
        <w:rPr>
          <w:sz w:val="22"/>
          <w:szCs w:val="22"/>
        </w:rPr>
      </w:pPr>
      <w:r w:rsidRPr="007C3628">
        <w:rPr>
          <w:sz w:val="22"/>
          <w:szCs w:val="22"/>
        </w:rPr>
        <w:t>Příloha č. 1 se nahrazuje přílohou</w:t>
      </w:r>
      <w:r w:rsidR="007C3628" w:rsidRPr="007C3628">
        <w:rPr>
          <w:sz w:val="22"/>
          <w:szCs w:val="22"/>
        </w:rPr>
        <w:t xml:space="preserve"> č. 1</w:t>
      </w:r>
      <w:r w:rsidRPr="007C3628">
        <w:rPr>
          <w:sz w:val="22"/>
          <w:szCs w:val="22"/>
        </w:rPr>
        <w:t xml:space="preserve"> tohoto nařízení. </w:t>
      </w:r>
    </w:p>
    <w:p w14:paraId="053494BA" w14:textId="7823F8A4" w:rsidR="00B97059" w:rsidRDefault="00B97059" w:rsidP="00B97059">
      <w:pPr>
        <w:tabs>
          <w:tab w:val="num" w:pos="1560"/>
        </w:tabs>
        <w:autoSpaceDE w:val="0"/>
        <w:autoSpaceDN w:val="0"/>
        <w:adjustRightInd w:val="0"/>
        <w:rPr>
          <w:szCs w:val="24"/>
        </w:rPr>
      </w:pPr>
    </w:p>
    <w:p w14:paraId="1706AEC8" w14:textId="766BE43A" w:rsidR="00B97059" w:rsidRDefault="00B97059" w:rsidP="00B97059">
      <w:pPr>
        <w:tabs>
          <w:tab w:val="num" w:pos="1560"/>
        </w:tabs>
        <w:autoSpaceDE w:val="0"/>
        <w:autoSpaceDN w:val="0"/>
        <w:adjustRightInd w:val="0"/>
        <w:rPr>
          <w:szCs w:val="24"/>
        </w:rPr>
      </w:pPr>
    </w:p>
    <w:p w14:paraId="241F8068" w14:textId="17E0438F" w:rsidR="00B97059" w:rsidRPr="007C3628" w:rsidRDefault="00B97059" w:rsidP="00B97059">
      <w:pPr>
        <w:tabs>
          <w:tab w:val="num" w:pos="1560"/>
        </w:tabs>
        <w:autoSpaceDE w:val="0"/>
        <w:autoSpaceDN w:val="0"/>
        <w:adjustRightInd w:val="0"/>
        <w:jc w:val="center"/>
        <w:rPr>
          <w:b/>
          <w:bCs/>
          <w:sz w:val="22"/>
          <w:szCs w:val="22"/>
        </w:rPr>
      </w:pPr>
      <w:r w:rsidRPr="007C3628">
        <w:rPr>
          <w:b/>
          <w:bCs/>
          <w:sz w:val="22"/>
          <w:szCs w:val="22"/>
        </w:rPr>
        <w:t>Článek 2</w:t>
      </w:r>
    </w:p>
    <w:p w14:paraId="118C8D1C" w14:textId="79342D93" w:rsidR="00B97059" w:rsidRPr="007C3628" w:rsidRDefault="00B97059" w:rsidP="00B97059">
      <w:pPr>
        <w:tabs>
          <w:tab w:val="num" w:pos="1560"/>
        </w:tabs>
        <w:autoSpaceDE w:val="0"/>
        <w:autoSpaceDN w:val="0"/>
        <w:adjustRightInd w:val="0"/>
        <w:jc w:val="center"/>
        <w:rPr>
          <w:sz w:val="22"/>
          <w:szCs w:val="22"/>
        </w:rPr>
      </w:pPr>
    </w:p>
    <w:p w14:paraId="61C5670C" w14:textId="46E211BE" w:rsidR="00B97059" w:rsidRPr="007C3628" w:rsidRDefault="00B97059" w:rsidP="007C3628">
      <w:pPr>
        <w:tabs>
          <w:tab w:val="num" w:pos="1560"/>
        </w:tabs>
        <w:autoSpaceDE w:val="0"/>
        <w:autoSpaceDN w:val="0"/>
        <w:adjustRightInd w:val="0"/>
        <w:rPr>
          <w:sz w:val="22"/>
          <w:szCs w:val="22"/>
        </w:rPr>
      </w:pPr>
      <w:r w:rsidRPr="007C3628">
        <w:rPr>
          <w:sz w:val="22"/>
          <w:szCs w:val="22"/>
        </w:rPr>
        <w:t>Nařízení nabývá účinnosti počátkem patnáctého dne následujícího po dni jeho vyhlášení.</w:t>
      </w:r>
    </w:p>
    <w:p w14:paraId="69CF7A51" w14:textId="57945C87" w:rsidR="007C3628" w:rsidRPr="007C3628" w:rsidRDefault="007C3628" w:rsidP="007C3628">
      <w:pPr>
        <w:tabs>
          <w:tab w:val="num" w:pos="1560"/>
        </w:tabs>
        <w:autoSpaceDE w:val="0"/>
        <w:autoSpaceDN w:val="0"/>
        <w:adjustRightInd w:val="0"/>
        <w:rPr>
          <w:sz w:val="22"/>
          <w:szCs w:val="22"/>
        </w:rPr>
      </w:pPr>
    </w:p>
    <w:p w14:paraId="71AE7E7B" w14:textId="4E3733E9" w:rsidR="007C3628" w:rsidRPr="007C3628" w:rsidRDefault="007C3628" w:rsidP="007C3628">
      <w:pPr>
        <w:tabs>
          <w:tab w:val="num" w:pos="1560"/>
        </w:tabs>
        <w:autoSpaceDE w:val="0"/>
        <w:autoSpaceDN w:val="0"/>
        <w:adjustRightInd w:val="0"/>
        <w:rPr>
          <w:sz w:val="22"/>
          <w:szCs w:val="22"/>
        </w:rPr>
      </w:pPr>
    </w:p>
    <w:p w14:paraId="36CF5BF8" w14:textId="4C080944" w:rsidR="007C3628" w:rsidRPr="007C3628" w:rsidRDefault="007C3628" w:rsidP="007C3628">
      <w:pPr>
        <w:tabs>
          <w:tab w:val="num" w:pos="1560"/>
        </w:tabs>
        <w:autoSpaceDE w:val="0"/>
        <w:autoSpaceDN w:val="0"/>
        <w:adjustRightInd w:val="0"/>
        <w:rPr>
          <w:sz w:val="22"/>
          <w:szCs w:val="22"/>
        </w:rPr>
      </w:pPr>
    </w:p>
    <w:p w14:paraId="07980D66" w14:textId="61E66F0F" w:rsidR="007C3628" w:rsidRPr="007C3628" w:rsidRDefault="007C3628" w:rsidP="007C3628">
      <w:pPr>
        <w:tabs>
          <w:tab w:val="num" w:pos="1560"/>
        </w:tabs>
        <w:autoSpaceDE w:val="0"/>
        <w:autoSpaceDN w:val="0"/>
        <w:adjustRightInd w:val="0"/>
        <w:rPr>
          <w:sz w:val="22"/>
          <w:szCs w:val="22"/>
        </w:rPr>
      </w:pPr>
      <w:r w:rsidRPr="007C3628">
        <w:rPr>
          <w:sz w:val="22"/>
          <w:szCs w:val="22"/>
        </w:rPr>
        <w:t xml:space="preserve">       Ing. Petr Vrána</w:t>
      </w:r>
      <w:r w:rsidR="009C7A2F">
        <w:rPr>
          <w:sz w:val="22"/>
          <w:szCs w:val="22"/>
        </w:rPr>
        <w:t>, v.r.</w:t>
      </w:r>
      <w:r w:rsidRPr="007C3628">
        <w:rPr>
          <w:sz w:val="22"/>
          <w:szCs w:val="22"/>
        </w:rPr>
        <w:tab/>
      </w:r>
      <w:r w:rsidRPr="007C3628">
        <w:rPr>
          <w:sz w:val="22"/>
          <w:szCs w:val="22"/>
        </w:rPr>
        <w:tab/>
      </w:r>
      <w:r w:rsidRPr="007C3628">
        <w:rPr>
          <w:sz w:val="22"/>
          <w:szCs w:val="22"/>
        </w:rPr>
        <w:tab/>
      </w:r>
      <w:r w:rsidRPr="007C3628">
        <w:rPr>
          <w:sz w:val="22"/>
          <w:szCs w:val="22"/>
        </w:rPr>
        <w:tab/>
      </w:r>
      <w:r w:rsidRPr="007C3628">
        <w:rPr>
          <w:sz w:val="22"/>
          <w:szCs w:val="22"/>
        </w:rPr>
        <w:tab/>
      </w:r>
      <w:r w:rsidR="009C7A2F">
        <w:rPr>
          <w:sz w:val="22"/>
          <w:szCs w:val="22"/>
        </w:rPr>
        <w:t xml:space="preserve">        </w:t>
      </w:r>
      <w:r w:rsidRPr="007C3628">
        <w:rPr>
          <w:sz w:val="22"/>
          <w:szCs w:val="22"/>
        </w:rPr>
        <w:t>Ing. Tomáš Navrátil</w:t>
      </w:r>
      <w:r w:rsidR="009C7A2F">
        <w:rPr>
          <w:sz w:val="22"/>
          <w:szCs w:val="22"/>
        </w:rPr>
        <w:t>, v.r.</w:t>
      </w:r>
    </w:p>
    <w:p w14:paraId="4B7D387C" w14:textId="52A505F9" w:rsidR="007C3628" w:rsidRPr="007C3628" w:rsidRDefault="007C3628" w:rsidP="007C3628">
      <w:pPr>
        <w:tabs>
          <w:tab w:val="num" w:pos="1560"/>
        </w:tabs>
        <w:autoSpaceDE w:val="0"/>
        <w:autoSpaceDN w:val="0"/>
        <w:adjustRightInd w:val="0"/>
        <w:rPr>
          <w:sz w:val="22"/>
          <w:szCs w:val="22"/>
        </w:rPr>
      </w:pPr>
      <w:r w:rsidRPr="007C3628">
        <w:rPr>
          <w:sz w:val="22"/>
          <w:szCs w:val="22"/>
        </w:rPr>
        <w:t xml:space="preserve">             primátor </w:t>
      </w:r>
      <w:r w:rsidRPr="007C3628">
        <w:rPr>
          <w:sz w:val="22"/>
          <w:szCs w:val="22"/>
        </w:rPr>
        <w:tab/>
      </w:r>
      <w:r w:rsidRPr="007C3628">
        <w:rPr>
          <w:sz w:val="22"/>
          <w:szCs w:val="22"/>
        </w:rPr>
        <w:tab/>
      </w:r>
      <w:r w:rsidRPr="007C3628">
        <w:rPr>
          <w:sz w:val="22"/>
          <w:szCs w:val="22"/>
        </w:rPr>
        <w:tab/>
      </w:r>
      <w:r w:rsidRPr="007C3628">
        <w:rPr>
          <w:sz w:val="22"/>
          <w:szCs w:val="22"/>
        </w:rPr>
        <w:tab/>
      </w:r>
      <w:r w:rsidRPr="007C3628">
        <w:rPr>
          <w:sz w:val="22"/>
          <w:szCs w:val="22"/>
        </w:rPr>
        <w:tab/>
      </w:r>
      <w:r w:rsidRPr="007C3628">
        <w:rPr>
          <w:sz w:val="22"/>
          <w:szCs w:val="22"/>
        </w:rPr>
        <w:tab/>
      </w:r>
      <w:r w:rsidRPr="007C3628">
        <w:rPr>
          <w:sz w:val="22"/>
          <w:szCs w:val="22"/>
        </w:rPr>
        <w:tab/>
      </w:r>
      <w:r w:rsidRPr="007C3628">
        <w:rPr>
          <w:sz w:val="22"/>
          <w:szCs w:val="22"/>
        </w:rPr>
        <w:tab/>
        <w:t>náměstek primátora</w:t>
      </w:r>
    </w:p>
    <w:p w14:paraId="5F0DE87B" w14:textId="4FA1DE99" w:rsidR="00B97059" w:rsidRPr="007C3628" w:rsidRDefault="00B97059" w:rsidP="007C3628">
      <w:pPr>
        <w:autoSpaceDE w:val="0"/>
        <w:autoSpaceDN w:val="0"/>
        <w:adjustRightInd w:val="0"/>
        <w:spacing w:before="40"/>
        <w:ind w:left="426" w:hanging="426"/>
        <w:rPr>
          <w:sz w:val="22"/>
          <w:szCs w:val="22"/>
        </w:rPr>
      </w:pPr>
    </w:p>
    <w:p w14:paraId="339C9518" w14:textId="77777777" w:rsidR="00B97059" w:rsidRPr="00F246A4" w:rsidRDefault="00B97059" w:rsidP="00B97059">
      <w:pPr>
        <w:pStyle w:val="odst"/>
        <w:ind w:left="567" w:firstLine="0"/>
        <w:rPr>
          <w:color w:val="auto"/>
          <w:sz w:val="22"/>
          <w:szCs w:val="22"/>
        </w:rPr>
      </w:pPr>
    </w:p>
    <w:sectPr w:rsidR="00B97059" w:rsidRPr="00F246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33DA"/>
    <w:multiLevelType w:val="hybridMultilevel"/>
    <w:tmpl w:val="592EBC8E"/>
    <w:lvl w:ilvl="0" w:tplc="20BC41E4">
      <w:start w:val="1"/>
      <w:numFmt w:val="lowerLetter"/>
      <w:lvlText w:val="%1)"/>
      <w:lvlJc w:val="left"/>
      <w:pPr>
        <w:ind w:left="786" w:hanging="360"/>
      </w:pPr>
      <w:rPr>
        <w:rFonts w:hint="default"/>
        <w:color w:val="auto"/>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B7E0162"/>
    <w:multiLevelType w:val="hybridMultilevel"/>
    <w:tmpl w:val="9D1A9A64"/>
    <w:lvl w:ilvl="0" w:tplc="64684708">
      <w:start w:val="2"/>
      <w:numFmt w:val="decimal"/>
      <w:lvlText w:val="(%1)"/>
      <w:lvlJc w:val="left"/>
      <w:pPr>
        <w:tabs>
          <w:tab w:val="num" w:pos="1080"/>
        </w:tabs>
        <w:ind w:left="1080" w:hanging="360"/>
      </w:pPr>
      <w:rPr>
        <w:rFonts w:hint="default"/>
        <w:color w:val="auto"/>
        <w:sz w:val="24"/>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 w15:restartNumberingAfterBreak="0">
    <w:nsid w:val="1BEE2390"/>
    <w:multiLevelType w:val="hybridMultilevel"/>
    <w:tmpl w:val="928EE3F8"/>
    <w:lvl w:ilvl="0" w:tplc="A1C69F2A">
      <w:start w:val="2"/>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 w15:restartNumberingAfterBreak="0">
    <w:nsid w:val="26E00867"/>
    <w:multiLevelType w:val="hybridMultilevel"/>
    <w:tmpl w:val="753C2300"/>
    <w:lvl w:ilvl="0" w:tplc="947E12DA">
      <w:start w:val="1"/>
      <w:numFmt w:val="lowerLetter"/>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4" w15:restartNumberingAfterBreak="0">
    <w:nsid w:val="2B533A3C"/>
    <w:multiLevelType w:val="hybridMultilevel"/>
    <w:tmpl w:val="3A427BC2"/>
    <w:lvl w:ilvl="0" w:tplc="3C20EACC">
      <w:start w:val="2"/>
      <w:numFmt w:val="bullet"/>
      <w:lvlText w:val="-"/>
      <w:lvlJc w:val="left"/>
      <w:pPr>
        <w:ind w:left="1068" w:hanging="360"/>
      </w:pPr>
      <w:rPr>
        <w:rFonts w:ascii="Times New Roman" w:eastAsia="Times New Roman" w:hAnsi="Times New Roman"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5" w15:restartNumberingAfterBreak="0">
    <w:nsid w:val="31605AC2"/>
    <w:multiLevelType w:val="hybridMultilevel"/>
    <w:tmpl w:val="CB9A720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C7620B"/>
    <w:multiLevelType w:val="hybridMultilevel"/>
    <w:tmpl w:val="3D62465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8416E9"/>
    <w:multiLevelType w:val="hybridMultilevel"/>
    <w:tmpl w:val="61905B10"/>
    <w:lvl w:ilvl="0" w:tplc="682A9FEA">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44B4789E"/>
    <w:multiLevelType w:val="hybridMultilevel"/>
    <w:tmpl w:val="551C8EC0"/>
    <w:lvl w:ilvl="0" w:tplc="C264F8B8">
      <w:start w:val="1"/>
      <w:numFmt w:val="decimal"/>
      <w:lvlText w:val="(%1)"/>
      <w:lvlJc w:val="left"/>
      <w:pPr>
        <w:tabs>
          <w:tab w:val="num" w:pos="1080"/>
        </w:tabs>
        <w:ind w:left="1080" w:hanging="360"/>
      </w:pPr>
      <w:rPr>
        <w:rFonts w:hint="default"/>
        <w:color w:val="auto"/>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CE95819"/>
    <w:multiLevelType w:val="hybridMultilevel"/>
    <w:tmpl w:val="E89A089C"/>
    <w:lvl w:ilvl="0" w:tplc="2410DEC6">
      <w:start w:val="7"/>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659D0785"/>
    <w:multiLevelType w:val="hybridMultilevel"/>
    <w:tmpl w:val="7B42FA00"/>
    <w:lvl w:ilvl="0" w:tplc="CB88D8A4">
      <w:start w:val="1"/>
      <w:numFmt w:val="decimal"/>
      <w:lvlText w:val="(%1)"/>
      <w:lvlJc w:val="left"/>
      <w:pPr>
        <w:tabs>
          <w:tab w:val="num" w:pos="720"/>
        </w:tabs>
        <w:ind w:left="720" w:hanging="360"/>
      </w:pPr>
      <w:rPr>
        <w:rFonts w:ascii="Times New Roman" w:eastAsia="Times New Roman" w:hAnsi="Times New Roman" w:cs="Times New Roman"/>
      </w:rPr>
    </w:lvl>
    <w:lvl w:ilvl="1" w:tplc="8584AB34">
      <w:start w:val="2"/>
      <w:numFmt w:val="decimal"/>
      <w:lvlText w:val="(%2)"/>
      <w:lvlJc w:val="left"/>
      <w:pPr>
        <w:tabs>
          <w:tab w:val="num" w:pos="1440"/>
        </w:tabs>
        <w:ind w:left="1440" w:hanging="360"/>
      </w:pPr>
      <w:rPr>
        <w:rFonts w:hint="default"/>
        <w:color w:val="FF0000"/>
        <w:sz w:val="24"/>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6FDB70C6"/>
    <w:multiLevelType w:val="hybridMultilevel"/>
    <w:tmpl w:val="5712B352"/>
    <w:lvl w:ilvl="0" w:tplc="AEB6FE5A">
      <w:start w:val="1"/>
      <w:numFmt w:val="lowerLetter"/>
      <w:lvlText w:val="%1)"/>
      <w:lvlJc w:val="left"/>
      <w:pPr>
        <w:tabs>
          <w:tab w:val="num" w:pos="2025"/>
        </w:tabs>
        <w:ind w:left="2025" w:hanging="94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70F07572"/>
    <w:multiLevelType w:val="hybridMultilevel"/>
    <w:tmpl w:val="9C329AA2"/>
    <w:lvl w:ilvl="0" w:tplc="C7CED406">
      <w:start w:val="1"/>
      <w:numFmt w:val="lowerLetter"/>
      <w:lvlText w:val="%1)"/>
      <w:lvlJc w:val="left"/>
      <w:pPr>
        <w:tabs>
          <w:tab w:val="num" w:pos="1637"/>
        </w:tabs>
        <w:ind w:left="1637" w:hanging="360"/>
      </w:pPr>
      <w:rPr>
        <w:rFonts w:hint="default"/>
      </w:rPr>
    </w:lvl>
    <w:lvl w:ilvl="1" w:tplc="04050019" w:tentative="1">
      <w:start w:val="1"/>
      <w:numFmt w:val="lowerLetter"/>
      <w:lvlText w:val="%2."/>
      <w:lvlJc w:val="left"/>
      <w:pPr>
        <w:tabs>
          <w:tab w:val="num" w:pos="2357"/>
        </w:tabs>
        <w:ind w:left="2357" w:hanging="360"/>
      </w:pPr>
    </w:lvl>
    <w:lvl w:ilvl="2" w:tplc="0405001B" w:tentative="1">
      <w:start w:val="1"/>
      <w:numFmt w:val="lowerRoman"/>
      <w:lvlText w:val="%3."/>
      <w:lvlJc w:val="right"/>
      <w:pPr>
        <w:tabs>
          <w:tab w:val="num" w:pos="3077"/>
        </w:tabs>
        <w:ind w:left="3077" w:hanging="180"/>
      </w:pPr>
    </w:lvl>
    <w:lvl w:ilvl="3" w:tplc="0405000F" w:tentative="1">
      <w:start w:val="1"/>
      <w:numFmt w:val="decimal"/>
      <w:lvlText w:val="%4."/>
      <w:lvlJc w:val="left"/>
      <w:pPr>
        <w:tabs>
          <w:tab w:val="num" w:pos="3797"/>
        </w:tabs>
        <w:ind w:left="3797" w:hanging="360"/>
      </w:pPr>
    </w:lvl>
    <w:lvl w:ilvl="4" w:tplc="04050019" w:tentative="1">
      <w:start w:val="1"/>
      <w:numFmt w:val="lowerLetter"/>
      <w:lvlText w:val="%5."/>
      <w:lvlJc w:val="left"/>
      <w:pPr>
        <w:tabs>
          <w:tab w:val="num" w:pos="4517"/>
        </w:tabs>
        <w:ind w:left="4517" w:hanging="360"/>
      </w:pPr>
    </w:lvl>
    <w:lvl w:ilvl="5" w:tplc="0405001B" w:tentative="1">
      <w:start w:val="1"/>
      <w:numFmt w:val="lowerRoman"/>
      <w:lvlText w:val="%6."/>
      <w:lvlJc w:val="right"/>
      <w:pPr>
        <w:tabs>
          <w:tab w:val="num" w:pos="5237"/>
        </w:tabs>
        <w:ind w:left="5237" w:hanging="180"/>
      </w:pPr>
    </w:lvl>
    <w:lvl w:ilvl="6" w:tplc="0405000F" w:tentative="1">
      <w:start w:val="1"/>
      <w:numFmt w:val="decimal"/>
      <w:lvlText w:val="%7."/>
      <w:lvlJc w:val="left"/>
      <w:pPr>
        <w:tabs>
          <w:tab w:val="num" w:pos="5957"/>
        </w:tabs>
        <w:ind w:left="5957" w:hanging="360"/>
      </w:pPr>
    </w:lvl>
    <w:lvl w:ilvl="7" w:tplc="04050019" w:tentative="1">
      <w:start w:val="1"/>
      <w:numFmt w:val="lowerLetter"/>
      <w:lvlText w:val="%8."/>
      <w:lvlJc w:val="left"/>
      <w:pPr>
        <w:tabs>
          <w:tab w:val="num" w:pos="6677"/>
        </w:tabs>
        <w:ind w:left="6677" w:hanging="360"/>
      </w:pPr>
    </w:lvl>
    <w:lvl w:ilvl="8" w:tplc="0405001B" w:tentative="1">
      <w:start w:val="1"/>
      <w:numFmt w:val="lowerRoman"/>
      <w:lvlText w:val="%9."/>
      <w:lvlJc w:val="right"/>
      <w:pPr>
        <w:tabs>
          <w:tab w:val="num" w:pos="7397"/>
        </w:tabs>
        <w:ind w:left="7397" w:hanging="180"/>
      </w:pPr>
    </w:lvl>
  </w:abstractNum>
  <w:abstractNum w:abstractNumId="13" w15:restartNumberingAfterBreak="0">
    <w:nsid w:val="71464EB5"/>
    <w:multiLevelType w:val="hybridMultilevel"/>
    <w:tmpl w:val="8C540CF2"/>
    <w:lvl w:ilvl="0" w:tplc="AEB6FE5A">
      <w:start w:val="1"/>
      <w:numFmt w:val="lowerLetter"/>
      <w:lvlText w:val="%1)"/>
      <w:lvlJc w:val="left"/>
      <w:pPr>
        <w:tabs>
          <w:tab w:val="num" w:pos="2025"/>
        </w:tabs>
        <w:ind w:left="2025" w:hanging="94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7C551F7A"/>
    <w:multiLevelType w:val="hybridMultilevel"/>
    <w:tmpl w:val="60808994"/>
    <w:lvl w:ilvl="0" w:tplc="6AEEC75E">
      <w:start w:val="1"/>
      <w:numFmt w:val="decimal"/>
      <w:lvlText w:val="(%1)"/>
      <w:lvlJc w:val="left"/>
      <w:pPr>
        <w:tabs>
          <w:tab w:val="num" w:pos="540"/>
        </w:tabs>
        <w:ind w:left="54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2013750553">
    <w:abstractNumId w:val="12"/>
  </w:num>
  <w:num w:numId="2" w16cid:durableId="1666081474">
    <w:abstractNumId w:val="7"/>
  </w:num>
  <w:num w:numId="3" w16cid:durableId="1985038424">
    <w:abstractNumId w:val="13"/>
  </w:num>
  <w:num w:numId="4" w16cid:durableId="1082262731">
    <w:abstractNumId w:val="11"/>
  </w:num>
  <w:num w:numId="5" w16cid:durableId="1289973069">
    <w:abstractNumId w:val="14"/>
  </w:num>
  <w:num w:numId="6" w16cid:durableId="1945991961">
    <w:abstractNumId w:val="10"/>
  </w:num>
  <w:num w:numId="7" w16cid:durableId="877354573">
    <w:abstractNumId w:val="1"/>
  </w:num>
  <w:num w:numId="8" w16cid:durableId="294528217">
    <w:abstractNumId w:val="8"/>
  </w:num>
  <w:num w:numId="9" w16cid:durableId="1086999181">
    <w:abstractNumId w:val="0"/>
  </w:num>
  <w:num w:numId="10" w16cid:durableId="148448696">
    <w:abstractNumId w:val="3"/>
  </w:num>
  <w:num w:numId="11" w16cid:durableId="362561819">
    <w:abstractNumId w:val="4"/>
  </w:num>
  <w:num w:numId="12" w16cid:durableId="1801533741">
    <w:abstractNumId w:val="9"/>
  </w:num>
  <w:num w:numId="13" w16cid:durableId="1464494706">
    <w:abstractNumId w:val="6"/>
  </w:num>
  <w:num w:numId="14" w16cid:durableId="955987137">
    <w:abstractNumId w:val="2"/>
  </w:num>
  <w:num w:numId="15" w16cid:durableId="8926935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059"/>
    <w:rsid w:val="00153467"/>
    <w:rsid w:val="00201D67"/>
    <w:rsid w:val="00235D93"/>
    <w:rsid w:val="002644E7"/>
    <w:rsid w:val="00467028"/>
    <w:rsid w:val="007C3628"/>
    <w:rsid w:val="007D4A40"/>
    <w:rsid w:val="00907299"/>
    <w:rsid w:val="009C7A2F"/>
    <w:rsid w:val="009F69C7"/>
    <w:rsid w:val="00B970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594D8"/>
  <w15:chartTrackingRefBased/>
  <w15:docId w15:val="{81122ED4-9BDD-45D4-9CCB-D778B4C8D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97059"/>
    <w:pPr>
      <w:suppressAutoHyphens/>
      <w:spacing w:after="0" w:line="252" w:lineRule="auto"/>
      <w:jc w:val="both"/>
    </w:pPr>
    <w:rPr>
      <w:rFonts w:ascii="Times New Roman" w:eastAsia="Times New Roman" w:hAnsi="Times New Roman" w:cs="Times New Roman"/>
      <w:sz w:val="24"/>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B97059"/>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odst">
    <w:name w:val="odst."/>
    <w:basedOn w:val="Default"/>
    <w:rsid w:val="00B97059"/>
    <w:pPr>
      <w:tabs>
        <w:tab w:val="left" w:pos="540"/>
      </w:tabs>
      <w:spacing w:before="40"/>
      <w:ind w:left="539" w:hanging="539"/>
      <w:jc w:val="both"/>
    </w:pPr>
  </w:style>
  <w:style w:type="paragraph" w:styleId="Odstavecseseznamem">
    <w:name w:val="List Paragraph"/>
    <w:basedOn w:val="Normln"/>
    <w:uiPriority w:val="34"/>
    <w:qFormat/>
    <w:rsid w:val="00B97059"/>
    <w:pPr>
      <w:suppressAutoHyphens w:val="0"/>
      <w:spacing w:line="240" w:lineRule="auto"/>
      <w:ind w:left="720"/>
      <w:contextualSpacing/>
      <w:jc w:val="left"/>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1441</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Hrubá</dc:creator>
  <cp:keywords/>
  <dc:description/>
  <cp:lastModifiedBy>Jana Hrubá</cp:lastModifiedBy>
  <cp:revision>3</cp:revision>
  <cp:lastPrinted>2023-03-07T09:30:00Z</cp:lastPrinted>
  <dcterms:created xsi:type="dcterms:W3CDTF">2023-03-07T09:31:00Z</dcterms:created>
  <dcterms:modified xsi:type="dcterms:W3CDTF">2023-03-08T06:43:00Z</dcterms:modified>
</cp:coreProperties>
</file>