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D0" w:rsidRDefault="006639D0">
      <w:bookmarkStart w:id="0" w:name="_GoBack"/>
      <w:bookmarkEnd w:id="0"/>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rsidTr="00B521BF">
              <w:trPr>
                <w:trHeight w:val="464"/>
              </w:trPr>
              <w:tc>
                <w:tcPr>
                  <w:tcW w:w="0" w:type="auto"/>
                </w:tcPr>
                <w:p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1"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M491B"/>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8B0CF2">
                    <w:rPr>
                      <w:rFonts w:ascii="CKGinis" w:hAnsi="CKGinis"/>
                      <w:bCs/>
                      <w:sz w:val="72"/>
                    </w:rPr>
                    <w:t>MVCRX06M491B</w:t>
                  </w:r>
                  <w:r w:rsidRPr="007E1E0D">
                    <w:rPr>
                      <w:rFonts w:ascii="CKGinis" w:hAnsi="CKGinis"/>
                      <w:bCs/>
                      <w:sz w:val="72"/>
                    </w:rPr>
                    <w:fldChar w:fldCharType="end"/>
                  </w:r>
                  <w:bookmarkEnd w:id="1"/>
                  <w:r w:rsidRPr="007E1E0D">
                    <w:rPr>
                      <w:rFonts w:ascii="CKGinis" w:hAnsi="CKGinis"/>
                      <w:bCs/>
                      <w:sz w:val="72"/>
                    </w:rPr>
                    <w:t>*</w:t>
                  </w:r>
                </w:p>
              </w:tc>
            </w:tr>
            <w:bookmarkStart w:id="2" w:name="ssl_pid1"/>
            <w:tr w:rsidR="00B521BF" w:rsidRPr="007E1E0D" w:rsidTr="00B521BF">
              <w:trPr>
                <w:trHeight w:val="114"/>
              </w:trPr>
              <w:tc>
                <w:tcPr>
                  <w:tcW w:w="0" w:type="auto"/>
                </w:tcPr>
                <w:p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M491B"/>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8B0CF2">
                    <w:rPr>
                      <w:rFonts w:ascii="Arial" w:hAnsi="Arial"/>
                      <w:bCs/>
                      <w:sz w:val="20"/>
                      <w:szCs w:val="20"/>
                    </w:rPr>
                    <w:t>MVCRX06M491B</w:t>
                  </w:r>
                  <w:r w:rsidRPr="007E1E0D">
                    <w:rPr>
                      <w:rFonts w:ascii="Arial" w:hAnsi="Arial"/>
                      <w:bCs/>
                      <w:sz w:val="20"/>
                      <w:szCs w:val="20"/>
                    </w:rPr>
                    <w:fldChar w:fldCharType="end"/>
                  </w:r>
                  <w:bookmarkEnd w:id="2"/>
                </w:p>
              </w:tc>
            </w:tr>
            <w:tr w:rsidR="00B521BF" w:rsidRPr="007E1E0D" w:rsidTr="00B521BF">
              <w:trPr>
                <w:trHeight w:val="122"/>
              </w:trPr>
              <w:tc>
                <w:tcPr>
                  <w:tcW w:w="0" w:type="auto"/>
                </w:tcPr>
                <w:p w:rsidR="00B521BF" w:rsidRPr="007E1E0D" w:rsidRDefault="00B521BF" w:rsidP="006639D0">
                  <w:pPr>
                    <w:pStyle w:val="Text"/>
                    <w:jc w:val="center"/>
                    <w:rPr>
                      <w:sz w:val="20"/>
                      <w:szCs w:val="20"/>
                    </w:rPr>
                  </w:pPr>
                  <w:r w:rsidRPr="007E1E0D">
                    <w:rPr>
                      <w:sz w:val="20"/>
                      <w:szCs w:val="20"/>
                    </w:rPr>
                    <w:t>prvotní identifikátor</w:t>
                  </w:r>
                </w:p>
              </w:tc>
            </w:tr>
          </w:tbl>
          <w:p w:rsidR="00B521BF" w:rsidRDefault="00B521BF" w:rsidP="006639D0"/>
        </w:tc>
      </w:tr>
    </w:tbl>
    <w:bookmarkStart w:id="3" w:name="orj_ofic_nazev"/>
    <w:p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sidR="008B0CF2">
        <w:rPr>
          <w:bCs/>
        </w:rPr>
        <w:t>odbor veřejné správy, dozoru a kontroly</w:t>
      </w:r>
      <w:r>
        <w:rPr>
          <w:bCs/>
        </w:rPr>
        <w:fldChar w:fldCharType="end"/>
      </w:r>
      <w:bookmarkEnd w:id="3"/>
    </w:p>
    <w:bookmarkStart w:id="4" w:name="isu_ob_adr4"/>
    <w:p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sidR="008B0CF2">
        <w:rPr>
          <w:bCs/>
        </w:rPr>
        <w:t>náměstí Hrdinů 1634/3</w:t>
      </w:r>
      <w:r>
        <w:rPr>
          <w:bCs/>
        </w:rPr>
        <w:fldChar w:fldCharType="end"/>
      </w:r>
      <w:bookmarkEnd w:id="4"/>
    </w:p>
    <w:bookmarkStart w:id="5" w:name="isu_ob_adr5"/>
    <w:p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sidR="008B0CF2">
        <w:rPr>
          <w:bCs/>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8B0CF2">
        <w:rPr>
          <w:bCs/>
        </w:rPr>
        <w:t>Praha 4</w:t>
      </w:r>
      <w:r w:rsidR="0042290C">
        <w:rPr>
          <w:bCs/>
        </w:rPr>
        <w:fldChar w:fldCharType="end"/>
      </w:r>
      <w:bookmarkEnd w:id="5"/>
    </w:p>
    <w:p w:rsidR="00774381" w:rsidRDefault="00774381" w:rsidP="008321E0">
      <w:pPr>
        <w:pStyle w:val="Text"/>
      </w:pPr>
    </w:p>
    <w:p w:rsidR="00CD4782" w:rsidRPr="008321E0" w:rsidRDefault="008925E0" w:rsidP="008321E0">
      <w:pPr>
        <w:pStyle w:val="Text"/>
      </w:pPr>
      <w:r>
        <w:t>Č</w:t>
      </w:r>
      <w:r w:rsidR="00774381" w:rsidRPr="008321E0">
        <w:t>. j.</w:t>
      </w:r>
      <w:r w:rsidR="00A661C5">
        <w:t xml:space="preserve"> </w:t>
      </w:r>
      <w:bookmarkStart w:id="6" w:name="ssl_akt_znacka"/>
      <w:r w:rsidR="0042290C">
        <w:fldChar w:fldCharType="begin">
          <w:ffData>
            <w:name w:val="ssl_akt_znacka"/>
            <w:enabled w:val="0"/>
            <w:calcOnExit w:val="0"/>
            <w:textInput>
              <w:default w:val="MV- 95031-16/ODK-2022"/>
            </w:textInput>
          </w:ffData>
        </w:fldChar>
      </w:r>
      <w:r w:rsidR="0042290C">
        <w:instrText xml:space="preserve"> FORMTEXT </w:instrText>
      </w:r>
      <w:r w:rsidR="0042290C">
        <w:fldChar w:fldCharType="separate"/>
      </w:r>
      <w:r w:rsidR="008B0CF2">
        <w:t>MV- 95031-16/ODK-2022</w:t>
      </w:r>
      <w:r w:rsidR="0042290C">
        <w:fldChar w:fldCharType="end"/>
      </w:r>
      <w:bookmarkEnd w:id="6"/>
    </w:p>
    <w:tbl>
      <w:tblPr>
        <w:tblW w:w="3600" w:type="dxa"/>
        <w:tblInd w:w="5485" w:type="dxa"/>
        <w:tblLook w:val="01E0" w:firstRow="1" w:lastRow="1" w:firstColumn="1" w:lastColumn="1" w:noHBand="0" w:noVBand="0"/>
      </w:tblPr>
      <w:tblGrid>
        <w:gridCol w:w="3600"/>
      </w:tblGrid>
      <w:tr w:rsidR="00774381" w:rsidRPr="008321E0">
        <w:trPr>
          <w:trHeight w:val="96"/>
        </w:trPr>
        <w:tc>
          <w:tcPr>
            <w:tcW w:w="3600" w:type="dxa"/>
          </w:tcPr>
          <w:bookmarkStart w:id="7" w:name="isu_ob_adr7"/>
          <w:bookmarkStart w:id="8" w:name="ssl_dat_pod"/>
          <w:p w:rsidR="00774381" w:rsidRPr="008321E0" w:rsidRDefault="00581EF1" w:rsidP="008321E0">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sidR="008B0CF2">
              <w:rPr>
                <w:bCs/>
              </w:rPr>
              <w:t>Praha</w:t>
            </w:r>
            <w:r>
              <w:rPr>
                <w:bCs/>
              </w:rPr>
              <w:fldChar w:fldCharType="end"/>
            </w:r>
            <w:bookmarkEnd w:id="7"/>
            <w:r w:rsidR="0003781F">
              <w:t xml:space="preserve"> </w:t>
            </w:r>
            <w:bookmarkStart w:id="9" w:name="ssl_dat_podt"/>
            <w:bookmarkEnd w:id="8"/>
            <w:r w:rsidR="00036088">
              <w:fldChar w:fldCharType="begin">
                <w:ffData>
                  <w:name w:val="ssl_dat_podt"/>
                  <w:enabled/>
                  <w:calcOnExit w:val="0"/>
                  <w:textInput>
                    <w:type w:val="date"/>
                    <w:default w:val="19. srpna 2022"/>
                    <w:format w:val="d. MMMM yyyy"/>
                  </w:textInput>
                </w:ffData>
              </w:fldChar>
            </w:r>
            <w:r w:rsidR="00036088">
              <w:instrText xml:space="preserve"> FORMTEXT </w:instrText>
            </w:r>
            <w:r w:rsidR="00036088">
              <w:fldChar w:fldCharType="separate"/>
            </w:r>
            <w:r w:rsidR="008B0CF2">
              <w:t>19. srpna 2022</w:t>
            </w:r>
            <w:r w:rsidR="00036088">
              <w:fldChar w:fldCharType="end"/>
            </w:r>
            <w:bookmarkEnd w:id="9"/>
          </w:p>
        </w:tc>
      </w:tr>
      <w:tr w:rsidR="002C7BF3" w:rsidRPr="008321E0">
        <w:trPr>
          <w:trHeight w:val="96"/>
        </w:trPr>
        <w:tc>
          <w:tcPr>
            <w:tcW w:w="3600" w:type="dxa"/>
          </w:tcPr>
          <w:p w:rsidR="002C7BF3" w:rsidRDefault="002C7BF3" w:rsidP="008321E0">
            <w:pPr>
              <w:pStyle w:val="Text"/>
              <w:rPr>
                <w:bCs/>
              </w:rPr>
            </w:pPr>
          </w:p>
        </w:tc>
      </w:tr>
    </w:tbl>
    <w:p w:rsidR="002C7BF3" w:rsidRDefault="002C7BF3" w:rsidP="002C7BF3">
      <w:pPr>
        <w:pStyle w:val="Text"/>
        <w:ind w:firstLine="709"/>
        <w:jc w:val="both"/>
      </w:pPr>
      <w:r>
        <w:t>Ministerstvo vnitra, odbor veřejné správy, dozoru a kontroly (dále jen „Ministerstvo vnitra“), jako věcně příslušný správní orgán podle § 123 odst. 1 zákona č. 128/2000 Sb., o obcích (obecní zřízení), ve znění pozdějších předpisů (dále jen „zákon o obcích“), ve spojení s § 10 zákona č. 500/2004 Sb., správní řád, ve znění pozdějších předpisů (dále jen „správní řád“), v </w:t>
      </w:r>
      <w:r>
        <w:rPr>
          <w:noProof/>
        </w:rPr>
        <w:t xml:space="preserve">řízení </w:t>
      </w:r>
      <w:bookmarkStart w:id="10" w:name="_Hlk54859201"/>
      <w:bookmarkStart w:id="11" w:name="_Hlk56421716"/>
      <w:r>
        <w:rPr>
          <w:noProof/>
        </w:rPr>
        <w:t xml:space="preserve">o pozastavení účinnosti </w:t>
      </w:r>
      <w:r>
        <w:rPr>
          <w:b/>
        </w:rPr>
        <w:t>čl. 3 odst. 2 bod první</w:t>
      </w:r>
      <w:r w:rsidRPr="002C3FF7">
        <w:rPr>
          <w:b/>
        </w:rPr>
        <w:t xml:space="preserve"> </w:t>
      </w:r>
      <w:bookmarkStart w:id="12" w:name="_Hlk56421765"/>
      <w:bookmarkEnd w:id="10"/>
      <w:bookmarkEnd w:id="11"/>
      <w:r w:rsidRPr="00A9257C">
        <w:rPr>
          <w:b/>
        </w:rPr>
        <w:t xml:space="preserve">obecně závazné </w:t>
      </w:r>
      <w:r>
        <w:rPr>
          <w:b/>
        </w:rPr>
        <w:t>vyhlášky města Příbram č. 1/2022</w:t>
      </w:r>
      <w:r w:rsidRPr="00A9257C">
        <w:rPr>
          <w:b/>
        </w:rPr>
        <w:t xml:space="preserve"> o </w:t>
      </w:r>
      <w:bookmarkEnd w:id="12"/>
      <w:r>
        <w:rPr>
          <w:b/>
        </w:rPr>
        <w:t xml:space="preserve">nočním klidu, </w:t>
      </w:r>
      <w:r>
        <w:t>které je vedené s účastníkem řízení městem Příbram</w:t>
      </w:r>
      <w:r w:rsidRPr="00A9257C">
        <w:t xml:space="preserve">, se sídlem </w:t>
      </w:r>
      <w:r>
        <w:t>Tyršova 108, 261 01 Příbram, vydává toto</w:t>
      </w:r>
    </w:p>
    <w:p w:rsidR="002C7BF3" w:rsidRDefault="002C7BF3" w:rsidP="002C7BF3">
      <w:pPr>
        <w:autoSpaceDE w:val="0"/>
        <w:autoSpaceDN w:val="0"/>
        <w:adjustRightInd w:val="0"/>
        <w:rPr>
          <w:rFonts w:ascii="Arial-BoldMT" w:hAnsi="Arial-BoldMT" w:cs="Arial-BoldMT"/>
          <w:b/>
          <w:bCs/>
        </w:rPr>
      </w:pPr>
    </w:p>
    <w:p w:rsidR="002C7BF3" w:rsidRDefault="002C7BF3" w:rsidP="002C7BF3">
      <w:pPr>
        <w:autoSpaceDE w:val="0"/>
        <w:autoSpaceDN w:val="0"/>
        <w:adjustRightInd w:val="0"/>
        <w:jc w:val="center"/>
        <w:rPr>
          <w:rFonts w:ascii="Arial-BoldMT" w:hAnsi="Arial-BoldMT" w:cs="Arial-BoldMT"/>
          <w:b/>
          <w:bCs/>
        </w:rPr>
      </w:pPr>
      <w:r>
        <w:rPr>
          <w:rFonts w:ascii="Arial-BoldMT" w:hAnsi="Arial-BoldMT" w:cs="Arial-BoldMT"/>
          <w:b/>
          <w:bCs/>
        </w:rPr>
        <w:t>R O Z H O D N U T Í:</w:t>
      </w:r>
    </w:p>
    <w:p w:rsidR="002C7BF3" w:rsidRDefault="002C7BF3" w:rsidP="002C7BF3">
      <w:pPr>
        <w:autoSpaceDE w:val="0"/>
        <w:autoSpaceDN w:val="0"/>
        <w:adjustRightInd w:val="0"/>
        <w:rPr>
          <w:rFonts w:ascii="ArialMT" w:hAnsi="ArialMT" w:cs="ArialMT"/>
        </w:rPr>
      </w:pPr>
    </w:p>
    <w:p w:rsidR="002C7BF3" w:rsidRDefault="002C7BF3" w:rsidP="002C7BF3">
      <w:pPr>
        <w:pStyle w:val="Odstavecseseznamem"/>
        <w:numPr>
          <w:ilvl w:val="0"/>
          <w:numId w:val="1"/>
        </w:numPr>
        <w:autoSpaceDE w:val="0"/>
        <w:autoSpaceDN w:val="0"/>
        <w:adjustRightInd w:val="0"/>
        <w:jc w:val="both"/>
        <w:rPr>
          <w:rFonts w:ascii="Arial" w:hAnsi="Arial" w:cs="Arial"/>
          <w:b/>
          <w:bCs/>
        </w:rPr>
      </w:pPr>
      <w:r>
        <w:rPr>
          <w:rFonts w:ascii="Arial" w:hAnsi="Arial" w:cs="Arial"/>
        </w:rPr>
        <w:t xml:space="preserve">Účinnost </w:t>
      </w:r>
      <w:r>
        <w:rPr>
          <w:rFonts w:ascii="Arial" w:hAnsi="Arial" w:cs="Arial"/>
          <w:b/>
          <w:bCs/>
        </w:rPr>
        <w:t>čl. 3 odst. 2 bod první</w:t>
      </w:r>
      <w:r w:rsidRPr="00CD6799">
        <w:rPr>
          <w:rFonts w:ascii="Arial" w:hAnsi="Arial" w:cs="Arial"/>
          <w:b/>
          <w:bCs/>
        </w:rPr>
        <w:t xml:space="preserve"> </w:t>
      </w:r>
      <w:r w:rsidRPr="00440371">
        <w:rPr>
          <w:rFonts w:ascii="Arial" w:hAnsi="Arial" w:cs="Arial"/>
          <w:bCs/>
        </w:rPr>
        <w:t xml:space="preserve">obecně závazné vyhlášky </w:t>
      </w:r>
      <w:r>
        <w:rPr>
          <w:rFonts w:ascii="Arial" w:hAnsi="Arial" w:cs="Arial"/>
          <w:bCs/>
        </w:rPr>
        <w:t>města Příbram</w:t>
      </w:r>
      <w:r w:rsidRPr="00440371">
        <w:rPr>
          <w:rFonts w:ascii="Arial" w:hAnsi="Arial" w:cs="Arial"/>
          <w:bCs/>
        </w:rPr>
        <w:t xml:space="preserve"> </w:t>
      </w:r>
      <w:r>
        <w:rPr>
          <w:rFonts w:ascii="Arial" w:hAnsi="Arial" w:cs="Arial"/>
          <w:bCs/>
        </w:rPr>
        <w:br/>
      </w:r>
      <w:r w:rsidRPr="00440371">
        <w:rPr>
          <w:rFonts w:ascii="Arial" w:hAnsi="Arial" w:cs="Arial"/>
          <w:b/>
          <w:bCs/>
        </w:rPr>
        <w:t xml:space="preserve">č. </w:t>
      </w:r>
      <w:r>
        <w:rPr>
          <w:rFonts w:ascii="Arial" w:hAnsi="Arial" w:cs="Arial"/>
          <w:b/>
          <w:bCs/>
        </w:rPr>
        <w:t>1/2022</w:t>
      </w:r>
      <w:r>
        <w:rPr>
          <w:rFonts w:ascii="Arial" w:hAnsi="Arial" w:cs="Arial"/>
          <w:bCs/>
        </w:rPr>
        <w:t xml:space="preserve"> o nočním klidu</w:t>
      </w:r>
      <w:r w:rsidRPr="00CD6799">
        <w:rPr>
          <w:rFonts w:ascii="Arial" w:hAnsi="Arial" w:cs="Arial"/>
        </w:rPr>
        <w:t>,</w:t>
      </w:r>
      <w:r>
        <w:rPr>
          <w:rFonts w:ascii="Arial" w:hAnsi="Arial" w:cs="Arial"/>
          <w:b/>
          <w:bCs/>
        </w:rPr>
        <w:t xml:space="preserve"> se </w:t>
      </w:r>
      <w:r>
        <w:rPr>
          <w:rFonts w:ascii="Arial" w:hAnsi="Arial" w:cs="Arial"/>
        </w:rPr>
        <w:t>dle ustanovení § 123 odst. 1 zákona o obcích</w:t>
      </w:r>
      <w:r>
        <w:rPr>
          <w:rFonts w:ascii="Arial" w:hAnsi="Arial" w:cs="Arial"/>
          <w:i/>
          <w:iCs/>
        </w:rPr>
        <w:t xml:space="preserve"> </w:t>
      </w:r>
      <w:r>
        <w:rPr>
          <w:rFonts w:ascii="Arial" w:hAnsi="Arial" w:cs="Arial"/>
          <w:b/>
          <w:bCs/>
        </w:rPr>
        <w:t>pozastavuje</w:t>
      </w:r>
      <w:r>
        <w:rPr>
          <w:rFonts w:ascii="Arial" w:hAnsi="Arial" w:cs="Arial"/>
        </w:rPr>
        <w:t xml:space="preserve">. </w:t>
      </w:r>
    </w:p>
    <w:p w:rsidR="002C7BF3" w:rsidRDefault="002C7BF3" w:rsidP="002C7BF3">
      <w:pPr>
        <w:pStyle w:val="Odstavecseseznamem"/>
        <w:autoSpaceDE w:val="0"/>
        <w:autoSpaceDN w:val="0"/>
        <w:adjustRightInd w:val="0"/>
        <w:jc w:val="both"/>
        <w:rPr>
          <w:rFonts w:ascii="Arial" w:hAnsi="Arial" w:cs="Arial"/>
          <w:b/>
          <w:bCs/>
        </w:rPr>
      </w:pPr>
    </w:p>
    <w:p w:rsidR="002C7BF3" w:rsidRDefault="002C7BF3" w:rsidP="002C7BF3">
      <w:pPr>
        <w:pStyle w:val="Odstavecseseznamem"/>
        <w:numPr>
          <w:ilvl w:val="0"/>
          <w:numId w:val="1"/>
        </w:numPr>
        <w:autoSpaceDE w:val="0"/>
        <w:autoSpaceDN w:val="0"/>
        <w:adjustRightInd w:val="0"/>
        <w:jc w:val="both"/>
        <w:rPr>
          <w:rFonts w:ascii="Arial" w:hAnsi="Arial" w:cs="Arial"/>
          <w:b/>
          <w:bCs/>
        </w:rPr>
      </w:pPr>
      <w:r>
        <w:rPr>
          <w:rFonts w:ascii="Arial" w:hAnsi="Arial" w:cs="Arial"/>
        </w:rPr>
        <w:t xml:space="preserve">Účastníkovi řízení </w:t>
      </w:r>
      <w:r>
        <w:rPr>
          <w:rFonts w:ascii="Arial" w:hAnsi="Arial" w:cs="Arial"/>
          <w:b/>
          <w:bCs/>
        </w:rPr>
        <w:t xml:space="preserve">se </w:t>
      </w:r>
      <w:r>
        <w:rPr>
          <w:rFonts w:ascii="Arial" w:hAnsi="Arial" w:cs="Arial"/>
        </w:rPr>
        <w:t xml:space="preserve">dle ustanovení § 123 odst. 1 zákona o obcích </w:t>
      </w:r>
      <w:r>
        <w:rPr>
          <w:rFonts w:ascii="Arial" w:hAnsi="Arial" w:cs="Arial"/>
          <w:b/>
          <w:bCs/>
        </w:rPr>
        <w:t xml:space="preserve">stanovuje ke zjednání nápravy </w:t>
      </w:r>
      <w:r w:rsidRPr="004C6705">
        <w:rPr>
          <w:rFonts w:ascii="Arial" w:hAnsi="Arial" w:cs="Arial"/>
          <w:b/>
          <w:bCs/>
        </w:rPr>
        <w:t>lhůta 30 dnů od</w:t>
      </w:r>
      <w:r>
        <w:rPr>
          <w:rFonts w:ascii="Arial" w:hAnsi="Arial" w:cs="Arial"/>
          <w:b/>
          <w:bCs/>
        </w:rPr>
        <w:t xml:space="preserve"> doručení tohoto rozhodnutí.</w:t>
      </w:r>
    </w:p>
    <w:p w:rsidR="002C7BF3" w:rsidRDefault="002C7BF3" w:rsidP="002C7BF3">
      <w:pPr>
        <w:autoSpaceDE w:val="0"/>
        <w:autoSpaceDN w:val="0"/>
        <w:adjustRightInd w:val="0"/>
        <w:rPr>
          <w:rFonts w:ascii="Arial" w:hAnsi="Arial" w:cs="Arial"/>
        </w:rPr>
      </w:pPr>
    </w:p>
    <w:p w:rsidR="002C7BF3" w:rsidRDefault="002C7BF3" w:rsidP="002C7BF3">
      <w:pPr>
        <w:autoSpaceDE w:val="0"/>
        <w:autoSpaceDN w:val="0"/>
        <w:adjustRightInd w:val="0"/>
        <w:rPr>
          <w:rFonts w:ascii="Arial" w:hAnsi="Arial" w:cs="Arial"/>
        </w:rPr>
      </w:pPr>
    </w:p>
    <w:p w:rsidR="002C7BF3" w:rsidRDefault="002C7BF3" w:rsidP="002C7BF3">
      <w:pPr>
        <w:autoSpaceDE w:val="0"/>
        <w:autoSpaceDN w:val="0"/>
        <w:adjustRightInd w:val="0"/>
        <w:jc w:val="center"/>
        <w:rPr>
          <w:rFonts w:ascii="Arial" w:hAnsi="Arial" w:cs="Arial"/>
        </w:rPr>
      </w:pPr>
      <w:r>
        <w:rPr>
          <w:rFonts w:ascii="Arial" w:hAnsi="Arial" w:cs="Arial"/>
        </w:rPr>
        <w:t>O D Ů V O D N Ě N Í:</w:t>
      </w:r>
    </w:p>
    <w:p w:rsidR="002C7BF3" w:rsidRDefault="002C7BF3" w:rsidP="002C7BF3">
      <w:pPr>
        <w:autoSpaceDE w:val="0"/>
        <w:autoSpaceDN w:val="0"/>
        <w:adjustRightInd w:val="0"/>
        <w:jc w:val="center"/>
        <w:rPr>
          <w:rFonts w:ascii="Arial" w:hAnsi="Arial" w:cs="Arial"/>
        </w:rPr>
      </w:pPr>
    </w:p>
    <w:p w:rsidR="002C7BF3" w:rsidRDefault="002C7BF3" w:rsidP="002C7BF3">
      <w:pPr>
        <w:autoSpaceDE w:val="0"/>
        <w:autoSpaceDN w:val="0"/>
        <w:adjustRightInd w:val="0"/>
        <w:jc w:val="center"/>
        <w:rPr>
          <w:rFonts w:ascii="Arial" w:hAnsi="Arial" w:cs="Arial"/>
          <w:bCs/>
        </w:rPr>
      </w:pPr>
      <w:r>
        <w:rPr>
          <w:rFonts w:ascii="Arial" w:hAnsi="Arial" w:cs="Arial"/>
          <w:bCs/>
        </w:rPr>
        <w:t>I.</w:t>
      </w:r>
    </w:p>
    <w:p w:rsidR="002C7BF3" w:rsidRDefault="002C7BF3" w:rsidP="002C7BF3">
      <w:pPr>
        <w:pStyle w:val="Text"/>
        <w:jc w:val="center"/>
        <w:rPr>
          <w:bCs/>
        </w:rPr>
      </w:pPr>
      <w:r>
        <w:rPr>
          <w:bCs/>
        </w:rPr>
        <w:t>Rekapitulace postupu před vydáním rozhodnutí</w:t>
      </w:r>
    </w:p>
    <w:p w:rsidR="002C7BF3" w:rsidRDefault="002C7BF3" w:rsidP="002C7BF3">
      <w:pPr>
        <w:pStyle w:val="Text"/>
        <w:jc w:val="center"/>
      </w:pPr>
    </w:p>
    <w:p w:rsidR="002C7BF3" w:rsidRDefault="002C7BF3" w:rsidP="002C7BF3">
      <w:pPr>
        <w:pStyle w:val="Text"/>
        <w:ind w:firstLine="708"/>
        <w:jc w:val="both"/>
      </w:pPr>
      <w:r>
        <w:t>Ministerstvo vnitra obdrželo dne 23. května 2021 podnět k prošetření zákonnosti výjimek ze zákonem určené doby nočního klidu, které stanovilo město Příbram ve své  obecně závazné vyhlášce č. 3/2021, o nočním klidu (dále jen „OZV č. 3/2021“), přijaté dne 26. dubna 2021. Ministerstvo vnitra dopisem ze dne 2. července 2021, (evid. pod čj. MV-95031</w:t>
      </w:r>
      <w:r w:rsidRPr="009D5204">
        <w:t>-</w:t>
      </w:r>
      <w:r>
        <w:t>2</w:t>
      </w:r>
      <w:r w:rsidRPr="009D5204">
        <w:t>/ODK-202</w:t>
      </w:r>
      <w:r>
        <w:t>2</w:t>
      </w:r>
      <w:r w:rsidRPr="009D5204">
        <w:t>)</w:t>
      </w:r>
      <w:r>
        <w:t xml:space="preserve"> zaslalo městu posouzení předmětné</w:t>
      </w:r>
      <w:r w:rsidRPr="000D159A">
        <w:rPr>
          <w:spacing w:val="-2"/>
        </w:rPr>
        <w:t xml:space="preserve"> </w:t>
      </w:r>
      <w:r>
        <w:rPr>
          <w:spacing w:val="-2"/>
        </w:rPr>
        <w:t xml:space="preserve">OZV č. 3/2021, kdy byl čl. 3 odst. 2 bod první shledán v rozporu se zákonem. Dne 12. srpna 2021 proběhlo ústní jednání zástupců Ministerstva vnitra se zástupci města Příbram ve věci OZV </w:t>
      </w:r>
      <w:r w:rsidR="00AE1168">
        <w:rPr>
          <w:spacing w:val="-2"/>
        </w:rPr>
        <w:br/>
      </w:r>
      <w:r>
        <w:rPr>
          <w:spacing w:val="-2"/>
        </w:rPr>
        <w:t xml:space="preserve">č. 3/2021 </w:t>
      </w:r>
      <w:r w:rsidRPr="00DB580F">
        <w:t>“)</w:t>
      </w:r>
      <w:r>
        <w:t xml:space="preserve"> (evid. pod čj. MV-95031</w:t>
      </w:r>
      <w:r w:rsidRPr="009D5204">
        <w:t>-</w:t>
      </w:r>
      <w:r>
        <w:t>3</w:t>
      </w:r>
      <w:r w:rsidRPr="009D5204">
        <w:t>/ODK-202</w:t>
      </w:r>
      <w:r>
        <w:t>2</w:t>
      </w:r>
      <w:r w:rsidRPr="009D5204">
        <w:t>)</w:t>
      </w:r>
      <w:r>
        <w:rPr>
          <w:spacing w:val="-2"/>
        </w:rPr>
        <w:t xml:space="preserve">. Město uvedlo, že dle jeho názoru je OZV č. 3/2021 v souladu se zákonem. S ohledem na vázanost příslušné výjimky z doby nočního klidu na období od 1. července do 31. srpna 2021 a s ohledem na princip minimalizace zásahu státu do činnosti územních samosprávních celků nebylo v daném </w:t>
      </w:r>
      <w:r>
        <w:rPr>
          <w:spacing w:val="-2"/>
        </w:rPr>
        <w:lastRenderedPageBreak/>
        <w:t xml:space="preserve">případě přikročeno k uplatnění dozorových opatření. Město bylo upozorněno, že pokud se rozhodne do budoucna příslušnou úpravu znovu přijmout, bude ze strany Ministerstva vnitra bez zbytečného odkladu přistoupeno k uplatnění dozorových opatření. Dne 25. dubna 2022 město Příbram schválilo </w:t>
      </w:r>
      <w:r>
        <w:t>obecně závaznou vyhlášku města Příbram</w:t>
      </w:r>
      <w:r w:rsidRPr="00DB580F">
        <w:t xml:space="preserve"> č. </w:t>
      </w:r>
      <w:r>
        <w:t>1</w:t>
      </w:r>
      <w:r w:rsidRPr="00DB580F">
        <w:t>/20</w:t>
      </w:r>
      <w:r>
        <w:t>22 o nočním klidu</w:t>
      </w:r>
      <w:r w:rsidRPr="00DB580F">
        <w:t xml:space="preserve"> (dále též jen „OZV“)</w:t>
      </w:r>
      <w:r>
        <w:t xml:space="preserve"> (evid. pod čj. MV-95031</w:t>
      </w:r>
      <w:r w:rsidR="00AE1168">
        <w:br/>
      </w:r>
      <w:r w:rsidRPr="009D5204">
        <w:t>-</w:t>
      </w:r>
      <w:r>
        <w:t>4</w:t>
      </w:r>
      <w:r w:rsidRPr="009D5204">
        <w:t>/ODK-202</w:t>
      </w:r>
      <w:r>
        <w:t>2</w:t>
      </w:r>
      <w:r w:rsidRPr="009D5204">
        <w:t>)</w:t>
      </w:r>
      <w:r>
        <w:rPr>
          <w:spacing w:val="-2"/>
        </w:rPr>
        <w:t xml:space="preserve">, která obsahuje v čl. 3 odst. 2 bod první totožné ustanovení, které bylo ze strany Ministerstva vnitra shledáno v rozporu se zákonem. </w:t>
      </w:r>
    </w:p>
    <w:p w:rsidR="002C7BF3" w:rsidRDefault="002C7BF3" w:rsidP="002C7BF3">
      <w:pPr>
        <w:pStyle w:val="Text"/>
        <w:jc w:val="center"/>
      </w:pPr>
    </w:p>
    <w:p w:rsidR="002C7BF3" w:rsidRDefault="002C7BF3" w:rsidP="002C7BF3">
      <w:pPr>
        <w:ind w:firstLine="708"/>
        <w:jc w:val="both"/>
        <w:rPr>
          <w:rFonts w:ascii="Arial" w:hAnsi="Arial" w:cs="Arial"/>
        </w:rPr>
      </w:pPr>
      <w:r w:rsidRPr="00E50A26">
        <w:rPr>
          <w:rFonts w:ascii="Arial" w:hAnsi="Arial" w:cs="Arial"/>
        </w:rPr>
        <w:t xml:space="preserve">S ohledem na tuto skutečnost </w:t>
      </w:r>
      <w:r w:rsidR="0057145A">
        <w:rPr>
          <w:rFonts w:ascii="Arial" w:hAnsi="Arial" w:cs="Arial"/>
        </w:rPr>
        <w:t>byla</w:t>
      </w:r>
      <w:r>
        <w:rPr>
          <w:rFonts w:ascii="Arial" w:hAnsi="Arial" w:cs="Arial"/>
        </w:rPr>
        <w:t xml:space="preserve"> městu Příbram podle § 123 odst. 1 zákona </w:t>
      </w:r>
      <w:r>
        <w:rPr>
          <w:rFonts w:ascii="Arial" w:hAnsi="Arial" w:cs="Arial"/>
        </w:rPr>
        <w:br/>
        <w:t xml:space="preserve">o obcích zaslána dne 25. května 2022 výzva ke zjednání nápravy (evid. pod </w:t>
      </w:r>
      <w:r>
        <w:rPr>
          <w:rFonts w:ascii="Arial" w:hAnsi="Arial" w:cs="Arial"/>
        </w:rPr>
        <w:br/>
        <w:t>č</w:t>
      </w:r>
      <w:r w:rsidRPr="00E50A26">
        <w:rPr>
          <w:rFonts w:ascii="Arial" w:hAnsi="Arial" w:cs="Arial"/>
        </w:rPr>
        <w:t>j. MV-</w:t>
      </w:r>
      <w:r>
        <w:rPr>
          <w:rFonts w:ascii="Arial" w:hAnsi="Arial" w:cs="Arial"/>
        </w:rPr>
        <w:t>95031-5</w:t>
      </w:r>
      <w:r w:rsidRPr="00E50A26">
        <w:rPr>
          <w:rFonts w:ascii="Arial" w:hAnsi="Arial" w:cs="Arial"/>
        </w:rPr>
        <w:t>/ODK-202</w:t>
      </w:r>
      <w:r>
        <w:rPr>
          <w:rFonts w:ascii="Arial" w:hAnsi="Arial" w:cs="Arial"/>
        </w:rPr>
        <w:t xml:space="preserve">2). Město Příbram ve stanovené lhůtě, jež uplynula dnem </w:t>
      </w:r>
      <w:r>
        <w:rPr>
          <w:rFonts w:ascii="Arial" w:hAnsi="Arial" w:cs="Arial"/>
        </w:rPr>
        <w:br/>
        <w:t xml:space="preserve">24. července 2022, nápravu nezjednalo </w:t>
      </w:r>
      <w:r w:rsidRPr="00761BF6">
        <w:rPr>
          <w:rFonts w:ascii="Arial" w:hAnsi="Arial" w:cs="Arial"/>
        </w:rPr>
        <w:t>a dne 24. června 2022 informovalo Ministerstvo vnitra o stanovisk</w:t>
      </w:r>
      <w:r>
        <w:rPr>
          <w:rFonts w:ascii="Arial" w:hAnsi="Arial" w:cs="Arial"/>
        </w:rPr>
        <w:t>u</w:t>
      </w:r>
      <w:r w:rsidRPr="00761BF6">
        <w:rPr>
          <w:rFonts w:ascii="Arial" w:hAnsi="Arial" w:cs="Arial"/>
        </w:rPr>
        <w:t>, že jeho zastupitelstvo nápravu nepřijalo (vyjádření města evid. pod č.j. MV-95031-6/ODK-2022).</w:t>
      </w:r>
    </w:p>
    <w:p w:rsidR="002C7BF3" w:rsidRDefault="002C7BF3" w:rsidP="002C7BF3">
      <w:pPr>
        <w:autoSpaceDE w:val="0"/>
        <w:autoSpaceDN w:val="0"/>
        <w:adjustRightInd w:val="0"/>
        <w:ind w:firstLine="709"/>
        <w:jc w:val="both"/>
        <w:rPr>
          <w:rFonts w:ascii="Arial" w:hAnsi="Arial" w:cs="Arial"/>
        </w:rPr>
      </w:pPr>
    </w:p>
    <w:p w:rsidR="002C7BF3" w:rsidRDefault="002C7BF3" w:rsidP="002C7BF3">
      <w:pPr>
        <w:ind w:firstLine="708"/>
        <w:jc w:val="both"/>
        <w:rPr>
          <w:rFonts w:ascii="Arial" w:hAnsi="Arial" w:cs="Arial"/>
        </w:rPr>
      </w:pPr>
      <w:r w:rsidRPr="00E50A26">
        <w:rPr>
          <w:rFonts w:ascii="Arial" w:hAnsi="Arial" w:cs="Arial"/>
        </w:rPr>
        <w:t xml:space="preserve">Ministerstvo vnitra dne </w:t>
      </w:r>
      <w:r w:rsidRPr="0052003B">
        <w:rPr>
          <w:rFonts w:ascii="Arial" w:hAnsi="Arial" w:cs="Arial"/>
        </w:rPr>
        <w:t>25. července 2022</w:t>
      </w:r>
      <w:r>
        <w:rPr>
          <w:rFonts w:ascii="Arial" w:hAnsi="Arial" w:cs="Arial"/>
        </w:rPr>
        <w:t xml:space="preserve"> </w:t>
      </w:r>
      <w:r w:rsidRPr="00E50A26">
        <w:rPr>
          <w:rFonts w:ascii="Arial" w:hAnsi="Arial" w:cs="Arial"/>
        </w:rPr>
        <w:t xml:space="preserve">svým oznámením </w:t>
      </w:r>
      <w:r w:rsidR="008E7A91">
        <w:rPr>
          <w:rFonts w:ascii="Arial" w:hAnsi="Arial" w:cs="Arial"/>
        </w:rPr>
        <w:br/>
      </w:r>
      <w:r w:rsidRPr="00E50A26">
        <w:rPr>
          <w:rFonts w:ascii="Arial" w:hAnsi="Arial" w:cs="Arial"/>
        </w:rPr>
        <w:t>č.j. MV-</w:t>
      </w:r>
      <w:r>
        <w:rPr>
          <w:rFonts w:ascii="Arial" w:hAnsi="Arial" w:cs="Arial"/>
        </w:rPr>
        <w:t>95031</w:t>
      </w:r>
      <w:r w:rsidRPr="00E50A26">
        <w:rPr>
          <w:rFonts w:ascii="Arial" w:hAnsi="Arial" w:cs="Arial"/>
        </w:rPr>
        <w:t>-</w:t>
      </w:r>
      <w:r>
        <w:rPr>
          <w:rFonts w:ascii="Arial" w:hAnsi="Arial" w:cs="Arial"/>
        </w:rPr>
        <w:t>9/ODK-2022</w:t>
      </w:r>
      <w:r w:rsidRPr="00E50A26">
        <w:rPr>
          <w:rFonts w:ascii="Arial" w:hAnsi="Arial" w:cs="Arial"/>
        </w:rPr>
        <w:t xml:space="preserve"> zahájilo s </w:t>
      </w:r>
      <w:r>
        <w:rPr>
          <w:rFonts w:ascii="Arial" w:hAnsi="Arial" w:cs="Arial"/>
        </w:rPr>
        <w:t>městem</w:t>
      </w:r>
      <w:r w:rsidRPr="00E50A26">
        <w:rPr>
          <w:rFonts w:ascii="Arial" w:hAnsi="Arial" w:cs="Arial"/>
        </w:rPr>
        <w:t xml:space="preserve"> </w:t>
      </w:r>
      <w:r>
        <w:rPr>
          <w:rFonts w:ascii="Arial" w:hAnsi="Arial" w:cs="Arial"/>
        </w:rPr>
        <w:t>Příbram</w:t>
      </w:r>
      <w:r w:rsidRPr="00E50A26">
        <w:rPr>
          <w:rFonts w:ascii="Arial" w:hAnsi="Arial" w:cs="Arial"/>
        </w:rPr>
        <w:t xml:space="preserve"> správní řízení o pozastavení účinnosti čl. </w:t>
      </w:r>
      <w:r>
        <w:rPr>
          <w:rFonts w:ascii="Arial" w:hAnsi="Arial" w:cs="Arial"/>
        </w:rPr>
        <w:t>3</w:t>
      </w:r>
      <w:r w:rsidRPr="00E50A26">
        <w:rPr>
          <w:rFonts w:ascii="Arial" w:hAnsi="Arial" w:cs="Arial"/>
        </w:rPr>
        <w:t xml:space="preserve"> odst. </w:t>
      </w:r>
      <w:r>
        <w:rPr>
          <w:rFonts w:ascii="Arial" w:hAnsi="Arial" w:cs="Arial"/>
        </w:rPr>
        <w:t>2 bod první</w:t>
      </w:r>
      <w:r w:rsidRPr="00E50A26">
        <w:rPr>
          <w:rFonts w:ascii="Arial" w:hAnsi="Arial" w:cs="Arial"/>
        </w:rPr>
        <w:t xml:space="preserve"> OZV a současně jej poučilo o jeho procesních právech. D</w:t>
      </w:r>
      <w:r>
        <w:rPr>
          <w:rFonts w:ascii="Arial" w:hAnsi="Arial" w:cs="Arial"/>
        </w:rPr>
        <w:t xml:space="preserve">ne 25. července 2022 Ministerstvo </w:t>
      </w:r>
      <w:r w:rsidRPr="00E50A26">
        <w:rPr>
          <w:rFonts w:ascii="Arial" w:hAnsi="Arial" w:cs="Arial"/>
        </w:rPr>
        <w:t>vnitra svým usnesením č.j. MV-</w:t>
      </w:r>
      <w:r>
        <w:rPr>
          <w:rFonts w:ascii="Arial" w:hAnsi="Arial" w:cs="Arial"/>
        </w:rPr>
        <w:t>95031</w:t>
      </w:r>
      <w:r>
        <w:rPr>
          <w:rFonts w:ascii="Arial" w:hAnsi="Arial" w:cs="Arial"/>
        </w:rPr>
        <w:br/>
        <w:t>-11</w:t>
      </w:r>
      <w:r w:rsidRPr="00E50A26">
        <w:rPr>
          <w:rFonts w:ascii="Arial" w:hAnsi="Arial" w:cs="Arial"/>
        </w:rPr>
        <w:t>/ODK-202</w:t>
      </w:r>
      <w:r>
        <w:rPr>
          <w:rFonts w:ascii="Arial" w:hAnsi="Arial" w:cs="Arial"/>
        </w:rPr>
        <w:t>2</w:t>
      </w:r>
      <w:r w:rsidRPr="00E50A26">
        <w:rPr>
          <w:rFonts w:ascii="Arial" w:hAnsi="Arial" w:cs="Arial"/>
        </w:rPr>
        <w:t xml:space="preserve"> uložilo na základě ustanovení § 53 odst. 1 správního řádu měst</w:t>
      </w:r>
      <w:r>
        <w:rPr>
          <w:rFonts w:ascii="Arial" w:hAnsi="Arial" w:cs="Arial"/>
        </w:rPr>
        <w:t>u</w:t>
      </w:r>
      <w:r w:rsidRPr="00E50A26">
        <w:rPr>
          <w:rFonts w:ascii="Arial" w:hAnsi="Arial" w:cs="Arial"/>
        </w:rPr>
        <w:t xml:space="preserve"> </w:t>
      </w:r>
      <w:r>
        <w:rPr>
          <w:rFonts w:ascii="Arial" w:hAnsi="Arial" w:cs="Arial"/>
        </w:rPr>
        <w:t>Příbram předložit zápis</w:t>
      </w:r>
      <w:r w:rsidRPr="00E50A26">
        <w:rPr>
          <w:rFonts w:ascii="Arial" w:hAnsi="Arial" w:cs="Arial"/>
        </w:rPr>
        <w:t xml:space="preserve"> </w:t>
      </w:r>
      <w:r>
        <w:rPr>
          <w:rFonts w:ascii="Arial" w:hAnsi="Arial" w:cs="Arial"/>
        </w:rPr>
        <w:t>ze zasedání Zastupitelstva města</w:t>
      </w:r>
      <w:r w:rsidRPr="00E50A26">
        <w:rPr>
          <w:rFonts w:ascii="Arial" w:hAnsi="Arial" w:cs="Arial"/>
        </w:rPr>
        <w:t xml:space="preserve"> </w:t>
      </w:r>
      <w:r>
        <w:rPr>
          <w:rFonts w:ascii="Arial" w:hAnsi="Arial" w:cs="Arial"/>
        </w:rPr>
        <w:t>Příbram</w:t>
      </w:r>
      <w:r w:rsidRPr="00E50A26">
        <w:rPr>
          <w:rFonts w:ascii="Arial" w:hAnsi="Arial" w:cs="Arial"/>
        </w:rPr>
        <w:t xml:space="preserve"> konan</w:t>
      </w:r>
      <w:r>
        <w:rPr>
          <w:rFonts w:ascii="Arial" w:hAnsi="Arial" w:cs="Arial"/>
        </w:rPr>
        <w:t>ého</w:t>
      </w:r>
      <w:r w:rsidRPr="00E50A26">
        <w:rPr>
          <w:rFonts w:ascii="Arial" w:hAnsi="Arial" w:cs="Arial"/>
        </w:rPr>
        <w:t xml:space="preserve"> dne </w:t>
      </w:r>
      <w:r w:rsidR="008E7A91">
        <w:rPr>
          <w:rFonts w:ascii="Arial" w:hAnsi="Arial" w:cs="Arial"/>
        </w:rPr>
        <w:br/>
      </w:r>
      <w:r>
        <w:rPr>
          <w:rFonts w:ascii="Arial" w:hAnsi="Arial" w:cs="Arial"/>
        </w:rPr>
        <w:t>25. dubna 2022</w:t>
      </w:r>
      <w:r w:rsidRPr="00E50A26">
        <w:rPr>
          <w:rFonts w:ascii="Arial" w:hAnsi="Arial" w:cs="Arial"/>
        </w:rPr>
        <w:t xml:space="preserve"> a kopie zveřejněn</w:t>
      </w:r>
      <w:r>
        <w:rPr>
          <w:rFonts w:ascii="Arial" w:hAnsi="Arial" w:cs="Arial"/>
        </w:rPr>
        <w:t>é</w:t>
      </w:r>
      <w:r w:rsidRPr="00E50A26">
        <w:rPr>
          <w:rFonts w:ascii="Arial" w:hAnsi="Arial" w:cs="Arial"/>
        </w:rPr>
        <w:t xml:space="preserve"> informac</w:t>
      </w:r>
      <w:r>
        <w:rPr>
          <w:rFonts w:ascii="Arial" w:hAnsi="Arial" w:cs="Arial"/>
        </w:rPr>
        <w:t>e</w:t>
      </w:r>
      <w:r w:rsidRPr="00E50A26">
        <w:rPr>
          <w:rFonts w:ascii="Arial" w:hAnsi="Arial" w:cs="Arial"/>
        </w:rPr>
        <w:t xml:space="preserve"> o místě, době a navrženém programu t</w:t>
      </w:r>
      <w:r>
        <w:rPr>
          <w:rFonts w:ascii="Arial" w:hAnsi="Arial" w:cs="Arial"/>
        </w:rPr>
        <w:t>ohoto</w:t>
      </w:r>
      <w:r w:rsidRPr="00E50A26">
        <w:rPr>
          <w:rFonts w:ascii="Arial" w:hAnsi="Arial" w:cs="Arial"/>
        </w:rPr>
        <w:t xml:space="preserve"> zasedání </w:t>
      </w:r>
      <w:r>
        <w:rPr>
          <w:rFonts w:ascii="Arial" w:hAnsi="Arial" w:cs="Arial"/>
        </w:rPr>
        <w:t>z</w:t>
      </w:r>
      <w:r w:rsidRPr="00E50A26">
        <w:rPr>
          <w:rFonts w:ascii="Arial" w:hAnsi="Arial" w:cs="Arial"/>
        </w:rPr>
        <w:t>astupitelstva měst</w:t>
      </w:r>
      <w:r>
        <w:rPr>
          <w:rFonts w:ascii="Arial" w:hAnsi="Arial" w:cs="Arial"/>
        </w:rPr>
        <w:t>a</w:t>
      </w:r>
      <w:r w:rsidRPr="00E50A26">
        <w:rPr>
          <w:rFonts w:ascii="Arial" w:hAnsi="Arial" w:cs="Arial"/>
        </w:rPr>
        <w:t>. Měst</w:t>
      </w:r>
      <w:r>
        <w:rPr>
          <w:rFonts w:ascii="Arial" w:hAnsi="Arial" w:cs="Arial"/>
        </w:rPr>
        <w:t>o</w:t>
      </w:r>
      <w:r w:rsidRPr="00E50A26">
        <w:rPr>
          <w:rFonts w:ascii="Arial" w:hAnsi="Arial" w:cs="Arial"/>
        </w:rPr>
        <w:t xml:space="preserve"> </w:t>
      </w:r>
      <w:r>
        <w:rPr>
          <w:rFonts w:ascii="Arial" w:hAnsi="Arial" w:cs="Arial"/>
        </w:rPr>
        <w:t>Příbram</w:t>
      </w:r>
      <w:r w:rsidRPr="00E50A26">
        <w:rPr>
          <w:rFonts w:ascii="Arial" w:hAnsi="Arial" w:cs="Arial"/>
        </w:rPr>
        <w:t xml:space="preserve"> předložil</w:t>
      </w:r>
      <w:r>
        <w:rPr>
          <w:rFonts w:ascii="Arial" w:hAnsi="Arial" w:cs="Arial"/>
        </w:rPr>
        <w:t>o</w:t>
      </w:r>
      <w:r w:rsidRPr="00E50A26">
        <w:rPr>
          <w:rFonts w:ascii="Arial" w:hAnsi="Arial" w:cs="Arial"/>
        </w:rPr>
        <w:t xml:space="preserve"> požadova</w:t>
      </w:r>
      <w:r>
        <w:rPr>
          <w:rFonts w:ascii="Arial" w:hAnsi="Arial" w:cs="Arial"/>
        </w:rPr>
        <w:t xml:space="preserve">né listiny </w:t>
      </w:r>
      <w:r>
        <w:rPr>
          <w:rFonts w:ascii="Arial" w:hAnsi="Arial" w:cs="Arial"/>
        </w:rPr>
        <w:br/>
      </w:r>
      <w:r w:rsidRPr="0052003B">
        <w:rPr>
          <w:rFonts w:ascii="Arial" w:hAnsi="Arial" w:cs="Arial"/>
        </w:rPr>
        <w:t>dne 29. července 2022.</w:t>
      </w:r>
      <w:r w:rsidRPr="0021540C">
        <w:rPr>
          <w:rFonts w:ascii="Arial" w:hAnsi="Arial" w:cs="Arial"/>
        </w:rPr>
        <w:t xml:space="preserve"> </w:t>
      </w:r>
      <w:r>
        <w:rPr>
          <w:rFonts w:ascii="Arial" w:hAnsi="Arial" w:cs="Arial"/>
        </w:rPr>
        <w:t>Tím Ministerstvo vnitra ukončilo shromažďování podkladů pro vydání rozhodnutí.</w:t>
      </w:r>
    </w:p>
    <w:p w:rsidR="002C7BF3" w:rsidRDefault="002C7BF3" w:rsidP="002C7BF3">
      <w:pPr>
        <w:pStyle w:val="Text"/>
        <w:ind w:firstLine="709"/>
        <w:jc w:val="both"/>
      </w:pPr>
    </w:p>
    <w:p w:rsidR="002C7BF3" w:rsidRDefault="002C7BF3" w:rsidP="002C7BF3">
      <w:pPr>
        <w:pStyle w:val="Text"/>
        <w:ind w:firstLine="708"/>
        <w:jc w:val="both"/>
      </w:pPr>
      <w:r>
        <w:t>Zastupitelstvo města Příbram na svém řádně svolaném zasedání schválilo dne 25</w:t>
      </w:r>
      <w:r w:rsidRPr="00433A26">
        <w:t xml:space="preserve">. </w:t>
      </w:r>
      <w:r>
        <w:t>dubna</w:t>
      </w:r>
      <w:r w:rsidRPr="00433A26">
        <w:t xml:space="preserve"> 20</w:t>
      </w:r>
      <w:r>
        <w:t>22</w:t>
      </w:r>
      <w:r w:rsidRPr="00433A26">
        <w:t xml:space="preserve"> </w:t>
      </w:r>
      <w:r>
        <w:t xml:space="preserve">OZV. Dle zápisu ze zasedání zastupitelstva města bylo ověřeno, že OZV byla přijata způsobem odpovídajícím § 87 zákonu o obcích, když pro její vydání hlasovala nadpoloviční většina všech členů zastupitelstva, tj. 20 členů zastupitelstva města </w:t>
      </w:r>
      <w:r w:rsidRPr="009D5204">
        <w:t xml:space="preserve">z celkového počtu </w:t>
      </w:r>
      <w:r>
        <w:t>2</w:t>
      </w:r>
      <w:r w:rsidRPr="009D5204">
        <w:t xml:space="preserve">5 členů. V souladu </w:t>
      </w:r>
      <w:r>
        <w:t xml:space="preserve">s ustanovením § </w:t>
      </w:r>
      <w:r w:rsidRPr="009D5204">
        <w:t xml:space="preserve">2 </w:t>
      </w:r>
      <w:r>
        <w:t xml:space="preserve">odst. 1 zákona </w:t>
      </w:r>
      <w:r w:rsidR="00AE1168">
        <w:br/>
        <w:t xml:space="preserve">č. </w:t>
      </w:r>
      <w:r>
        <w:t xml:space="preserve">35/2021 Sb., o Sbírce právních předpisů územních samosprávních celků </w:t>
      </w:r>
      <w:r>
        <w:br/>
        <w:t xml:space="preserve">a některých správních úřadů byla OZV zveřejněna dne 23. května 2022 ve Sbírce právních předpisů územních samosprávných celků a některých správních úřadů. </w:t>
      </w:r>
      <w:r w:rsidRPr="009D5204">
        <w:t xml:space="preserve">K nabytí účinnosti OZV došlo dle jejího čl. </w:t>
      </w:r>
      <w:r>
        <w:t>4</w:t>
      </w:r>
      <w:r w:rsidRPr="009D5204">
        <w:t xml:space="preserve"> dne </w:t>
      </w:r>
      <w:r>
        <w:t>7</w:t>
      </w:r>
      <w:r w:rsidRPr="009D5204">
        <w:t>. </w:t>
      </w:r>
      <w:r>
        <w:t>června</w:t>
      </w:r>
      <w:r w:rsidRPr="009D5204">
        <w:t xml:space="preserve"> 202</w:t>
      </w:r>
      <w:r>
        <w:t>2</w:t>
      </w:r>
      <w:r w:rsidRPr="009D5204">
        <w:t>.</w:t>
      </w:r>
      <w:r>
        <w:t xml:space="preserve"> Město Příbram Ministerstvu vnitra předložilo informace o místě, době a navrženém programu připravovaného zasedání zastu</w:t>
      </w:r>
      <w:r w:rsidR="00A80FE9">
        <w:t>pitelstva konaném dne 25. dubna</w:t>
      </w:r>
      <w:r>
        <w:t xml:space="preserve"> 2022, jež obsahuje zákonem o obcích předpokládané náležitosti, čímž město splnilo povinnost dle ustanovení § 93 odst. 1 věty první zákona o obcích, jež stanoví, že „obecní úřad informuje o místě, době a navrženém programu připravovaného zasedání zastupitelstva obce“. </w:t>
      </w:r>
    </w:p>
    <w:p w:rsidR="00AE1168" w:rsidRPr="009D5204" w:rsidRDefault="00AE1168" w:rsidP="002C7BF3">
      <w:pPr>
        <w:pStyle w:val="Text"/>
        <w:ind w:firstLine="708"/>
        <w:jc w:val="both"/>
      </w:pPr>
    </w:p>
    <w:p w:rsidR="002C7BF3" w:rsidRDefault="002C7BF3" w:rsidP="002C7BF3">
      <w:pPr>
        <w:pStyle w:val="Text"/>
        <w:ind w:firstLine="709"/>
        <w:jc w:val="both"/>
      </w:pPr>
      <w:r>
        <w:lastRenderedPageBreak/>
        <w:t xml:space="preserve">Dne 1. srpna 2022 (evid. pod č.j. MV-95031-12/ODK-2022) bylo Ministerstvem vnitra oznámeno, že má město Příbram možnost využít svého práva seznámit se </w:t>
      </w:r>
      <w:r>
        <w:br/>
        <w:t xml:space="preserve">s podklady pro vydání rozhodnutí a vyjádřit se k nim ve smyslu § 36 odst. 3 správního řádu. Přičemž městu byla dána lhůta do dne 12. srpna 2022. Dne </w:t>
      </w:r>
      <w:r>
        <w:br/>
        <w:t xml:space="preserve">11. srpna 2022 obdrželo Ministerstvo vnitra žádost od právního zástupce města JUDr. Tomáše Sameka o prodloužení lhůty o 7 dní. Ministerstvo vnitra souhlasilo s prodloužením lhůty pro vyjádření do 17. srpna 2022. Ministerstvo vnitra ve stanovené lhůtě žádné vyjádření neobdrželo. </w:t>
      </w:r>
    </w:p>
    <w:p w:rsidR="002C7BF3" w:rsidRDefault="002C7BF3" w:rsidP="002C7BF3">
      <w:pPr>
        <w:pStyle w:val="Text"/>
        <w:ind w:firstLine="709"/>
        <w:jc w:val="both"/>
      </w:pPr>
    </w:p>
    <w:p w:rsidR="002C7BF3" w:rsidRDefault="002C7BF3" w:rsidP="002C7BF3">
      <w:pPr>
        <w:autoSpaceDE w:val="0"/>
        <w:autoSpaceDN w:val="0"/>
        <w:adjustRightInd w:val="0"/>
        <w:jc w:val="center"/>
        <w:rPr>
          <w:rFonts w:ascii="Arial-BoldMT" w:hAnsi="Arial-BoldMT" w:cs="Arial-BoldMT"/>
          <w:bCs/>
        </w:rPr>
      </w:pPr>
      <w:r>
        <w:rPr>
          <w:rFonts w:ascii="Arial-BoldMT" w:hAnsi="Arial-BoldMT" w:cs="Arial-BoldMT"/>
          <w:bCs/>
        </w:rPr>
        <w:t>II.</w:t>
      </w:r>
    </w:p>
    <w:p w:rsidR="002C7BF3" w:rsidRDefault="002C7BF3" w:rsidP="002C7BF3">
      <w:pPr>
        <w:pStyle w:val="Text"/>
        <w:jc w:val="center"/>
      </w:pPr>
      <w:r>
        <w:rPr>
          <w:rFonts w:ascii="Arial-BoldMT" w:hAnsi="Arial-BoldMT" w:cs="Arial-BoldMT"/>
          <w:bCs/>
        </w:rPr>
        <w:t xml:space="preserve">Posouzení OZV </w:t>
      </w:r>
    </w:p>
    <w:p w:rsidR="002C7BF3" w:rsidRDefault="002C7BF3" w:rsidP="002C7BF3">
      <w:pPr>
        <w:pStyle w:val="Text"/>
      </w:pPr>
    </w:p>
    <w:p w:rsidR="002C7BF3" w:rsidRDefault="002C7BF3" w:rsidP="002C7BF3">
      <w:pPr>
        <w:autoSpaceDE w:val="0"/>
        <w:autoSpaceDN w:val="0"/>
        <w:adjustRightInd w:val="0"/>
        <w:ind w:firstLine="709"/>
        <w:jc w:val="both"/>
        <w:rPr>
          <w:rFonts w:ascii="Arial" w:hAnsi="Arial" w:cs="Arial"/>
        </w:rPr>
      </w:pPr>
      <w:r>
        <w:rPr>
          <w:rFonts w:ascii="Arial" w:hAnsi="Arial" w:cs="Arial"/>
        </w:rPr>
        <w:t xml:space="preserve">Dle § 123 odst. 1 zákona o obcích pozastaví Ministerstvo vnitra účinnost obecně závazné vyhlášky, která je v rozporu se zákonem. Při posuzování souladu obecně závazné vyhlášky se zákonem Ministerstvo vnitra zkoumá, zda (i) byla vyhláška vydána orgánem k tomu zmocněným, tj. zastupitelstvem obce, dále zda (ii) se obec při jejím vydání nepohybovala mimo meze jí svěřené věcné působnosti, zda (iii) obec nezneužila zákonem svěřenou působnost a zda (iv) není obecně závazná vyhláška nezákonná pro svoji „nerozumnost“. </w:t>
      </w:r>
    </w:p>
    <w:p w:rsidR="002C7BF3" w:rsidRDefault="002C7BF3" w:rsidP="002C7BF3">
      <w:pPr>
        <w:autoSpaceDE w:val="0"/>
        <w:autoSpaceDN w:val="0"/>
        <w:adjustRightInd w:val="0"/>
        <w:ind w:firstLine="709"/>
        <w:jc w:val="both"/>
        <w:rPr>
          <w:rFonts w:ascii="Arial" w:hAnsi="Arial" w:cs="Arial"/>
        </w:rPr>
      </w:pPr>
    </w:p>
    <w:p w:rsidR="002C7BF3" w:rsidRDefault="002C7BF3" w:rsidP="002C7BF3">
      <w:pPr>
        <w:autoSpaceDE w:val="0"/>
        <w:autoSpaceDN w:val="0"/>
        <w:adjustRightInd w:val="0"/>
        <w:ind w:firstLine="709"/>
        <w:jc w:val="both"/>
        <w:rPr>
          <w:rFonts w:ascii="Arial" w:hAnsi="Arial" w:cs="Arial"/>
        </w:rPr>
      </w:pPr>
      <w:r>
        <w:rPr>
          <w:rFonts w:ascii="Arial" w:hAnsi="Arial" w:cs="Arial"/>
        </w:rPr>
        <w:t xml:space="preserve">S ohledem na skutečnosti uvedené v bodě I. tohoto rozhodnutí lze konstatovat, že OZV byla vydána k tomu příslušným orgánem města a za dodržení procedurálního postupu stanoveného zákonem o obcích. Z hlediska kritéria uvedeného v bodě (i), </w:t>
      </w:r>
      <w:r w:rsidR="00AE1168">
        <w:rPr>
          <w:rFonts w:ascii="Arial" w:hAnsi="Arial" w:cs="Arial"/>
        </w:rPr>
        <w:br/>
      </w:r>
      <w:r>
        <w:rPr>
          <w:rFonts w:ascii="Arial" w:hAnsi="Arial" w:cs="Arial"/>
        </w:rPr>
        <w:t>tj. z procesního hlediska, tak OZV v přezkumu zákonnosti obstála a lze přikročit k hodnocení její zákonnosti podle dalších kritérií, tj. z obsahového hlediska.</w:t>
      </w:r>
    </w:p>
    <w:p w:rsidR="002C7BF3" w:rsidRDefault="002C7BF3" w:rsidP="002C7BF3">
      <w:pPr>
        <w:autoSpaceDE w:val="0"/>
        <w:autoSpaceDN w:val="0"/>
        <w:adjustRightInd w:val="0"/>
        <w:ind w:firstLine="709"/>
        <w:jc w:val="both"/>
        <w:rPr>
          <w:rFonts w:ascii="Arial" w:hAnsi="Arial" w:cs="Arial"/>
        </w:rPr>
      </w:pPr>
    </w:p>
    <w:p w:rsidR="002C7BF3" w:rsidRDefault="000B37C6" w:rsidP="002C7BF3">
      <w:pPr>
        <w:autoSpaceDE w:val="0"/>
        <w:autoSpaceDN w:val="0"/>
        <w:adjustRightInd w:val="0"/>
        <w:ind w:firstLine="709"/>
        <w:jc w:val="both"/>
        <w:rPr>
          <w:rFonts w:ascii="Arial" w:hAnsi="Arial" w:cs="Arial"/>
        </w:rPr>
      </w:pPr>
      <w:r>
        <w:rPr>
          <w:rFonts w:ascii="Arial" w:hAnsi="Arial" w:cs="Arial"/>
        </w:rPr>
        <w:t>Relevantní ustanovení OZV zní</w:t>
      </w:r>
      <w:r w:rsidR="002C7BF3">
        <w:rPr>
          <w:rFonts w:ascii="Arial" w:hAnsi="Arial" w:cs="Arial"/>
        </w:rPr>
        <w:t xml:space="preserve"> takto: </w:t>
      </w:r>
    </w:p>
    <w:p w:rsidR="002C7BF3" w:rsidRDefault="002C7BF3" w:rsidP="002C7BF3">
      <w:pPr>
        <w:autoSpaceDE w:val="0"/>
        <w:autoSpaceDN w:val="0"/>
        <w:adjustRightInd w:val="0"/>
        <w:ind w:firstLine="709"/>
        <w:jc w:val="both"/>
        <w:rPr>
          <w:rFonts w:ascii="Arial" w:hAnsi="Arial" w:cs="Arial"/>
        </w:rPr>
      </w:pPr>
    </w:p>
    <w:p w:rsidR="002C7BF3" w:rsidRDefault="002C7BF3" w:rsidP="002C7BF3">
      <w:pPr>
        <w:autoSpaceDE w:val="0"/>
        <w:autoSpaceDN w:val="0"/>
        <w:adjustRightInd w:val="0"/>
        <w:ind w:firstLine="709"/>
        <w:jc w:val="center"/>
        <w:rPr>
          <w:rFonts w:ascii="Arial" w:hAnsi="Arial" w:cs="Arial"/>
          <w:b/>
        </w:rPr>
      </w:pPr>
      <w:r w:rsidRPr="00D66536">
        <w:rPr>
          <w:rFonts w:ascii="Arial" w:hAnsi="Arial" w:cs="Arial"/>
          <w:b/>
        </w:rPr>
        <w:t xml:space="preserve">Čl. </w:t>
      </w:r>
      <w:r>
        <w:rPr>
          <w:rFonts w:ascii="Arial" w:hAnsi="Arial" w:cs="Arial"/>
          <w:b/>
        </w:rPr>
        <w:t>3</w:t>
      </w:r>
    </w:p>
    <w:p w:rsidR="002C7BF3" w:rsidRDefault="002C7BF3" w:rsidP="002C7BF3">
      <w:pPr>
        <w:autoSpaceDE w:val="0"/>
        <w:autoSpaceDN w:val="0"/>
        <w:adjustRightInd w:val="0"/>
        <w:ind w:firstLine="709"/>
        <w:jc w:val="center"/>
        <w:rPr>
          <w:rFonts w:ascii="Arial" w:hAnsi="Arial" w:cs="Arial"/>
          <w:b/>
        </w:rPr>
      </w:pPr>
      <w:r>
        <w:rPr>
          <w:rFonts w:ascii="Arial" w:hAnsi="Arial" w:cs="Arial"/>
          <w:b/>
        </w:rPr>
        <w:t>Stanovení výjimečných případů, při nichž nemusí být doba nočního klidu dodržována nebo při nichž je doba nočního klidu  vymezena dobou kratší</w:t>
      </w:r>
    </w:p>
    <w:p w:rsidR="002C7BF3" w:rsidRPr="00D66536" w:rsidRDefault="002C7BF3" w:rsidP="002C7BF3">
      <w:pPr>
        <w:autoSpaceDE w:val="0"/>
        <w:autoSpaceDN w:val="0"/>
        <w:adjustRightInd w:val="0"/>
        <w:ind w:firstLine="709"/>
        <w:rPr>
          <w:rFonts w:ascii="Arial" w:hAnsi="Arial" w:cs="Arial"/>
          <w:b/>
        </w:rPr>
      </w:pPr>
      <w:r>
        <w:rPr>
          <w:rFonts w:ascii="Arial" w:hAnsi="Arial" w:cs="Arial"/>
          <w:b/>
        </w:rPr>
        <w:t>…</w:t>
      </w:r>
    </w:p>
    <w:p w:rsidR="002C7BF3" w:rsidRDefault="002C7BF3" w:rsidP="002C7BF3">
      <w:pPr>
        <w:pStyle w:val="Text"/>
        <w:ind w:firstLine="709"/>
        <w:jc w:val="both"/>
        <w:rPr>
          <w:i/>
        </w:rPr>
      </w:pPr>
      <w:r>
        <w:t xml:space="preserve">2) </w:t>
      </w:r>
      <w:r w:rsidRPr="005027A1">
        <w:rPr>
          <w:i/>
        </w:rPr>
        <w:t xml:space="preserve">Doba nočního klidu se vymezuje dobou kratší </w:t>
      </w:r>
    </w:p>
    <w:p w:rsidR="002C7BF3" w:rsidRPr="00772AA4" w:rsidRDefault="002C7BF3" w:rsidP="002C7BF3">
      <w:pPr>
        <w:pStyle w:val="Text"/>
        <w:numPr>
          <w:ilvl w:val="0"/>
          <w:numId w:val="3"/>
        </w:numPr>
        <w:jc w:val="both"/>
      </w:pPr>
      <w:r w:rsidRPr="005027A1">
        <w:rPr>
          <w:i/>
        </w:rPr>
        <w:t>každý pátek a sobotu v období od 0</w:t>
      </w:r>
      <w:r>
        <w:rPr>
          <w:i/>
        </w:rPr>
        <w:t>1. 07. 2022 do 31. 08. 2022 a t</w:t>
      </w:r>
      <w:r w:rsidRPr="005027A1">
        <w:rPr>
          <w:i/>
        </w:rPr>
        <w:t>o</w:t>
      </w:r>
      <w:r>
        <w:rPr>
          <w:i/>
        </w:rPr>
        <w:t xml:space="preserve"> </w:t>
      </w:r>
      <w:r w:rsidRPr="005027A1">
        <w:rPr>
          <w:i/>
        </w:rPr>
        <w:t xml:space="preserve">tak, že noční klid začíná vždy ve 23:00, </w:t>
      </w:r>
      <w:r>
        <w:rPr>
          <w:i/>
        </w:rPr>
        <w:t>není-li dále uvedeno jinak,</w:t>
      </w:r>
    </w:p>
    <w:p w:rsidR="002C7BF3" w:rsidRPr="0086560A" w:rsidRDefault="002C7BF3" w:rsidP="002C7BF3">
      <w:pPr>
        <w:pStyle w:val="Text"/>
        <w:jc w:val="both"/>
      </w:pPr>
    </w:p>
    <w:p w:rsidR="002C7BF3" w:rsidRDefault="002C7BF3" w:rsidP="002C7BF3">
      <w:pPr>
        <w:pStyle w:val="Text"/>
        <w:ind w:firstLine="709"/>
        <w:jc w:val="both"/>
      </w:pPr>
      <w:r>
        <w:t xml:space="preserve">Stanovením výjimek z doby nočního klidu se zabýval Ústavní soud ve svém nálezu sp. zn. Pl. ÚS 4/16, ve kterém judikoval, že: </w:t>
      </w:r>
      <w:r w:rsidRPr="000B37C6">
        <w:rPr>
          <w:i/>
        </w:rPr>
        <w:t xml:space="preserve">veřejný zájem, jakým je nerušený odpočinek v noční době, má být zájmem na udržení místních tradic a na upevňování mezilidských vazeb skrze hlasité noční aktivity převážen toliko ve výjimečných případech. Tyto výjimečné případy, kdy se doba nočního klidu stanoví jako kratší nebo žádná, je třeba vymezit natolik určitě, aby lidé v obci žijící mohli počet </w:t>
      </w:r>
      <w:r w:rsidRPr="000B37C6">
        <w:rPr>
          <w:i/>
        </w:rPr>
        <w:br/>
        <w:t>a rozložení potenciálně částečně či úplně probdělých nocí v roce předvídat, tj. buď</w:t>
      </w:r>
      <w:r>
        <w:t xml:space="preserve"> </w:t>
      </w:r>
      <w:r w:rsidRPr="000B37C6">
        <w:rPr>
          <w:i/>
        </w:rPr>
        <w:lastRenderedPageBreak/>
        <w:t xml:space="preserve">konkrétním datem, datovatelným obdobím či událostí, jejíž datum je pro osoby žijící </w:t>
      </w:r>
      <w:r w:rsidRPr="000B37C6">
        <w:rPr>
          <w:i/>
        </w:rPr>
        <w:br/>
        <w:t xml:space="preserve">v obci předvídatelné. Výjimka by měla být jednoznačně stanovena a specifikována v obecně závazné vyhlášce tak, aby byla zachována kritéria výjimečnosti </w:t>
      </w:r>
      <w:r w:rsidRPr="000B37C6">
        <w:rPr>
          <w:i/>
        </w:rPr>
        <w:br/>
        <w:t>a předvídatelnosti.</w:t>
      </w:r>
      <w:r>
        <w:t xml:space="preserve"> </w:t>
      </w:r>
    </w:p>
    <w:p w:rsidR="002C7BF3" w:rsidRDefault="002C7BF3" w:rsidP="002C7BF3">
      <w:pPr>
        <w:pStyle w:val="Text"/>
        <w:ind w:firstLine="709"/>
        <w:jc w:val="both"/>
      </w:pPr>
    </w:p>
    <w:p w:rsidR="002C7BF3" w:rsidRDefault="002C7BF3" w:rsidP="002C7BF3">
      <w:pPr>
        <w:pStyle w:val="Text"/>
        <w:ind w:firstLine="709"/>
        <w:jc w:val="both"/>
      </w:pPr>
      <w:r>
        <w:t xml:space="preserve">Ve vyjádřeních, zaslaných městem dne 9. června 2021, č. j.: MeUPB 54376/2021 a ze dne 25. června 2021 (stejné číslo jednací), je mimo jiné uvedeno: </w:t>
      </w:r>
      <w:r w:rsidRPr="00B22095">
        <w:rPr>
          <w:i/>
        </w:rPr>
        <w:t xml:space="preserve">„Město Příbram zdůrazňuje, že ne všechny kulturní a společenské akce dosahují takového rozsahu a významu, aby je bylo možné plánovat a předvídat řadu měsíců dopředu tak, aby příslušná výjimka z doby nočního klidu byla obsažena v obecně závazné vyhlášce vydané zastupitelstvem města. V letních měsících je obvyklé pořádat rodinné oslavy, setkání organizovaná zájmovými spolky a prezentace řemesel, služeb a činnosti nejen místních podnikatelských subjektů, zájmových spolků a neziskových organizací. Akce jsou často spojené s živou hudbou, spontánním zpěvem či jen běžnou komunikací mezi více lidmi, ale i koncertními </w:t>
      </w:r>
      <w:r>
        <w:rPr>
          <w:i/>
        </w:rPr>
        <w:br/>
      </w:r>
      <w:r w:rsidRPr="00B22095">
        <w:rPr>
          <w:i/>
        </w:rPr>
        <w:t>a divadelními vystoupeními, kdy všechny uvedené činnosti samozřejmě emitují zvýšený hluk, byť nutně ne na úrovni zásadního rušení. V zájmu upevňování mezilidských vazeb, ale</w:t>
      </w:r>
      <w:r>
        <w:rPr>
          <w:i/>
        </w:rPr>
        <w:t xml:space="preserve"> </w:t>
      </w:r>
      <w:r w:rsidRPr="00B22095">
        <w:rPr>
          <w:i/>
        </w:rPr>
        <w:t>i v zájmu a udržení tradice těchto neformálních akcí, zejména pak po rozvolnění zásadních omezení spojených s bojem proti epidemii Covid-19, tak zastupitelé dospěli k závěru, že je žádoucí umožnit lidem i neplánovaná a lokální setkávání spojená se zvýšenou produkcí hluku na úrovni běžné produkce hluku ve večerních a denních (nikoliv nočních) hodinách. Způsobem definování omezení doby nočního klidu v čl. 3 odst. 2 prvé odrážce OZV chtěli zastupitelé docílit, aby byl co možná nejvíce odformalizován proces přípravy podobných kulturních a sportovních akcí, které mají často význam nejen lokální.</w:t>
      </w:r>
      <w:r>
        <w:t xml:space="preserve">“ </w:t>
      </w:r>
    </w:p>
    <w:p w:rsidR="002C7BF3" w:rsidRDefault="002C7BF3" w:rsidP="002C7BF3">
      <w:pPr>
        <w:pStyle w:val="Text"/>
        <w:ind w:firstLine="709"/>
        <w:jc w:val="both"/>
      </w:pPr>
    </w:p>
    <w:p w:rsidR="002C7BF3" w:rsidRDefault="002C7BF3" w:rsidP="002C7BF3">
      <w:pPr>
        <w:pStyle w:val="Text"/>
        <w:ind w:firstLine="709"/>
        <w:jc w:val="both"/>
      </w:pPr>
      <w:r>
        <w:t xml:space="preserve">V daném případě však kritérium výjimečnosti není dle názoru Ministerstva vnitra naplněno, neboť předmětem ustanovení není vymezení žádného konkrétního </w:t>
      </w:r>
      <w:r>
        <w:br/>
        <w:t xml:space="preserve">či konkretizovatelného výjimečného případu, který by byl spojený s tradiční slavností či jinou obdobnou akcí. </w:t>
      </w:r>
    </w:p>
    <w:p w:rsidR="002C7BF3" w:rsidRDefault="002C7BF3" w:rsidP="002C7BF3">
      <w:pPr>
        <w:pStyle w:val="Text"/>
        <w:ind w:firstLine="709"/>
        <w:jc w:val="both"/>
      </w:pPr>
    </w:p>
    <w:p w:rsidR="002C7BF3" w:rsidRDefault="002C7BF3" w:rsidP="002C7BF3">
      <w:pPr>
        <w:pStyle w:val="Text"/>
        <w:ind w:firstLine="709"/>
        <w:jc w:val="both"/>
      </w:pPr>
      <w:r>
        <w:t xml:space="preserve">Z městem poskytnutého vyjádření k předmětnému ustanovení, vyplývá, že ne </w:t>
      </w:r>
      <w:r>
        <w:br/>
        <w:t xml:space="preserve">v každý pátek a každou sobotu probíhá významná a výjimečná akce; stanovení výjimky nemá návaznost na konkrétní výjimečný případ a má tak povahu „obecné výjimky“ z doby nočního klidu, což je nutné hodnotit jako rozporné s ustanovením </w:t>
      </w:r>
      <w:r>
        <w:br/>
        <w:t>§ 5 odst. 7 zákona o některých přestupcích a s čl. 104 odst. 1 Ústavy, a to</w:t>
      </w:r>
      <w:r>
        <w:br/>
        <w:t xml:space="preserve">v návaznosti na požadavky Ústavního soudu uvedené v nálezu sp. zn. Pl. ÚS 4/16. </w:t>
      </w:r>
    </w:p>
    <w:p w:rsidR="002C7BF3" w:rsidRPr="0086560A" w:rsidRDefault="002C7BF3" w:rsidP="002C7BF3">
      <w:pPr>
        <w:pStyle w:val="Text"/>
        <w:ind w:firstLine="709"/>
        <w:jc w:val="both"/>
        <w:rPr>
          <w:b/>
        </w:rPr>
      </w:pPr>
    </w:p>
    <w:p w:rsidR="002C7BF3" w:rsidRPr="0086560A" w:rsidRDefault="002C7BF3" w:rsidP="002C7BF3">
      <w:pPr>
        <w:pStyle w:val="Text"/>
        <w:ind w:firstLine="709"/>
        <w:jc w:val="both"/>
        <w:rPr>
          <w:b/>
        </w:rPr>
      </w:pPr>
      <w:r w:rsidRPr="0086560A">
        <w:rPr>
          <w:b/>
        </w:rPr>
        <w:t xml:space="preserve">Vzhledem k výše uvedenému bylo ustanovení čl. 3 odst. 2 bod první OZV </w:t>
      </w:r>
      <w:r w:rsidRPr="0086560A">
        <w:rPr>
          <w:b/>
        </w:rPr>
        <w:br/>
        <w:t xml:space="preserve">shledáno v rozporu s ustanovením § 5 odst. 7 zákona o některých přestupcích </w:t>
      </w:r>
      <w:r w:rsidRPr="0086560A">
        <w:rPr>
          <w:b/>
        </w:rPr>
        <w:br/>
        <w:t>a s čl. 104 odst. 1 Ústavy.</w:t>
      </w:r>
    </w:p>
    <w:p w:rsidR="002C7BF3" w:rsidRDefault="002C7BF3" w:rsidP="002C7BF3">
      <w:pPr>
        <w:ind w:firstLine="709"/>
        <w:jc w:val="both"/>
        <w:rPr>
          <w:rFonts w:ascii="Arial" w:hAnsi="Arial" w:cs="Arial"/>
          <w:bCs/>
        </w:rPr>
      </w:pPr>
      <w:r>
        <w:rPr>
          <w:rFonts w:ascii="Arial" w:hAnsi="Arial" w:cs="Arial"/>
          <w:bCs/>
        </w:rPr>
        <w:lastRenderedPageBreak/>
        <w:t>S ohledem na to, že relevantní ustanovení OZV neobstálo již v hodnocení podle bodu (iii), neposuzovalo již Ministerstvo vnitra jeho zákonnost z hlediska kritéria uvedeného pod bodem (iv), tj. z hlediska jeho (ne)rozumnosti.</w:t>
      </w:r>
    </w:p>
    <w:p w:rsidR="002C7BF3" w:rsidRPr="00EA49F2" w:rsidRDefault="002C7BF3" w:rsidP="002C7BF3">
      <w:pPr>
        <w:pStyle w:val="Text"/>
        <w:jc w:val="both"/>
        <w:rPr>
          <w:i/>
        </w:rPr>
      </w:pPr>
      <w:r>
        <w:rPr>
          <w:i/>
        </w:rPr>
        <w:t xml:space="preserve"> </w:t>
      </w:r>
    </w:p>
    <w:p w:rsidR="002C7BF3" w:rsidRDefault="002C7BF3" w:rsidP="002C7BF3">
      <w:pPr>
        <w:autoSpaceDE w:val="0"/>
        <w:autoSpaceDN w:val="0"/>
        <w:adjustRightInd w:val="0"/>
        <w:ind w:firstLine="709"/>
        <w:jc w:val="both"/>
        <w:rPr>
          <w:rFonts w:ascii="Arial" w:hAnsi="Arial" w:cs="Arial"/>
          <w:b/>
        </w:rPr>
      </w:pPr>
      <w:r>
        <w:rPr>
          <w:rFonts w:ascii="Arial" w:hAnsi="Arial" w:cs="Arial"/>
          <w:bCs/>
        </w:rPr>
        <w:t xml:space="preserve">Dle § 123 odst. 1 zákona o obcích je </w:t>
      </w:r>
      <w:r>
        <w:rPr>
          <w:rFonts w:ascii="Arial" w:hAnsi="Arial" w:cs="Arial"/>
          <w:b/>
          <w:bCs/>
        </w:rPr>
        <w:t>účinnost</w:t>
      </w:r>
      <w:r>
        <w:rPr>
          <w:rFonts w:ascii="Arial" w:hAnsi="Arial" w:cs="Arial"/>
          <w:bCs/>
        </w:rPr>
        <w:t xml:space="preserve"> </w:t>
      </w:r>
      <w:r>
        <w:rPr>
          <w:rFonts w:ascii="Arial" w:hAnsi="Arial" w:cs="Arial"/>
        </w:rPr>
        <w:t xml:space="preserve">čl. 3 odst. 2 bod první OZV </w:t>
      </w:r>
      <w:r>
        <w:rPr>
          <w:rFonts w:ascii="Arial" w:hAnsi="Arial" w:cs="Arial"/>
          <w:b/>
        </w:rPr>
        <w:t xml:space="preserve">pozastavena </w:t>
      </w:r>
      <w:r>
        <w:rPr>
          <w:rFonts w:ascii="Arial" w:hAnsi="Arial" w:cs="Arial"/>
          <w:b/>
          <w:bCs/>
        </w:rPr>
        <w:t xml:space="preserve">dnem doručení </w:t>
      </w:r>
      <w:r>
        <w:rPr>
          <w:rFonts w:ascii="Arial" w:hAnsi="Arial" w:cs="Arial"/>
          <w:b/>
        </w:rPr>
        <w:t>tohoto rozhodnutí městu Příbram.</w:t>
      </w:r>
    </w:p>
    <w:p w:rsidR="002C7BF3" w:rsidRDefault="002C7BF3" w:rsidP="002C7BF3">
      <w:pPr>
        <w:autoSpaceDE w:val="0"/>
        <w:autoSpaceDN w:val="0"/>
        <w:adjustRightInd w:val="0"/>
        <w:ind w:firstLine="709"/>
        <w:jc w:val="both"/>
        <w:rPr>
          <w:rFonts w:ascii="Arial" w:hAnsi="Arial" w:cs="Arial"/>
          <w:b/>
        </w:rPr>
      </w:pPr>
    </w:p>
    <w:p w:rsidR="002C7BF3" w:rsidRDefault="002C7BF3" w:rsidP="002C7BF3">
      <w:pPr>
        <w:autoSpaceDE w:val="0"/>
        <w:autoSpaceDN w:val="0"/>
        <w:adjustRightInd w:val="0"/>
        <w:ind w:firstLine="709"/>
        <w:jc w:val="both"/>
        <w:rPr>
          <w:rFonts w:ascii="Arial" w:hAnsi="Arial" w:cs="Arial"/>
        </w:rPr>
      </w:pPr>
      <w:r>
        <w:rPr>
          <w:rFonts w:ascii="Arial" w:hAnsi="Arial" w:cs="Arial"/>
          <w:b/>
        </w:rPr>
        <w:t xml:space="preserve">Správní orgán dle § 123 odst. 1 zákona o obcích stanoví </w:t>
      </w:r>
      <w:r>
        <w:rPr>
          <w:rFonts w:ascii="Arial" w:hAnsi="Arial" w:cs="Arial"/>
        </w:rPr>
        <w:t xml:space="preserve">městu Příbram </w:t>
      </w:r>
      <w:r>
        <w:rPr>
          <w:rFonts w:ascii="Arial" w:hAnsi="Arial" w:cs="Arial"/>
          <w:b/>
          <w:bCs/>
        </w:rPr>
        <w:t>k provedení nápravy OZV lhůtu 30 dnů ode dne doručení tohoto rozhodnutí</w:t>
      </w:r>
      <w:r>
        <w:rPr>
          <w:rFonts w:ascii="Arial" w:hAnsi="Arial" w:cs="Arial"/>
        </w:rPr>
        <w:t xml:space="preserve">. Tato lhůta je stanovena tak, aby poskytovala dostatečný časový prostor ke zjednání nápravy formou zrušení dotčeného ustanovení, tj. pro řádné svolání zasedání zastupitelstva města a zachování standardní legisvakanční lhůty změnové obecně závazné vyhlášky. </w:t>
      </w:r>
    </w:p>
    <w:p w:rsidR="002C7BF3" w:rsidRDefault="002C7BF3" w:rsidP="002C7BF3">
      <w:pPr>
        <w:autoSpaceDE w:val="0"/>
        <w:autoSpaceDN w:val="0"/>
        <w:adjustRightInd w:val="0"/>
        <w:ind w:firstLine="709"/>
        <w:jc w:val="both"/>
        <w:rPr>
          <w:rFonts w:ascii="Arial" w:hAnsi="Arial" w:cs="Arial"/>
        </w:rPr>
      </w:pPr>
    </w:p>
    <w:p w:rsidR="002C7BF3" w:rsidRDefault="002C7BF3" w:rsidP="002C7BF3">
      <w:pPr>
        <w:autoSpaceDE w:val="0"/>
        <w:autoSpaceDN w:val="0"/>
        <w:adjustRightInd w:val="0"/>
        <w:ind w:firstLine="709"/>
        <w:jc w:val="both"/>
        <w:rPr>
          <w:rFonts w:ascii="Arial" w:hAnsi="Arial" w:cs="Arial"/>
        </w:rPr>
      </w:pPr>
      <w:r>
        <w:rPr>
          <w:rFonts w:ascii="Arial" w:hAnsi="Arial" w:cs="Arial"/>
        </w:rPr>
        <w:t>Město Příbram je podle ustanovení § 128 odst. 1 písm. a) zákona o obcích povinno vyvěsit toto rozhodnutí o pozastavení účinnosti čl. 3 odst. 2 bod první OZV po dobu nejméně 15 dnů na úřední desce městského úřadu. Město Příbram</w:t>
      </w:r>
      <w:r w:rsidRPr="00137F5A">
        <w:rPr>
          <w:rFonts w:ascii="Arial" w:hAnsi="Arial" w:cs="Arial"/>
        </w:rPr>
        <w:t xml:space="preserve"> </w:t>
      </w:r>
      <w:r>
        <w:rPr>
          <w:rFonts w:ascii="Arial" w:hAnsi="Arial" w:cs="Arial"/>
        </w:rPr>
        <w:t xml:space="preserve">je dále podle ustanovení § 123 odst. 1 zákona o obcích povinno o případném zjednání nápravy informovat Ministerstvo vnitra, aby bylo možno toto rozhodnutí zrušit neprodleně </w:t>
      </w:r>
      <w:r w:rsidR="00AE1168">
        <w:rPr>
          <w:rFonts w:ascii="Arial" w:hAnsi="Arial" w:cs="Arial"/>
        </w:rPr>
        <w:br/>
      </w:r>
      <w:r>
        <w:rPr>
          <w:rFonts w:ascii="Arial" w:hAnsi="Arial" w:cs="Arial"/>
        </w:rPr>
        <w:t xml:space="preserve">po obdržení informace o zjednání nápravy. </w:t>
      </w:r>
    </w:p>
    <w:p w:rsidR="002C7BF3" w:rsidRDefault="002C7BF3" w:rsidP="002C7BF3">
      <w:pPr>
        <w:autoSpaceDE w:val="0"/>
        <w:autoSpaceDN w:val="0"/>
        <w:adjustRightInd w:val="0"/>
        <w:jc w:val="both"/>
        <w:rPr>
          <w:rFonts w:ascii="Arial" w:hAnsi="Arial" w:cs="Arial"/>
          <w:b/>
          <w:bCs/>
        </w:rPr>
      </w:pPr>
    </w:p>
    <w:p w:rsidR="002C7BF3" w:rsidRDefault="002C7BF3" w:rsidP="002C7BF3">
      <w:pPr>
        <w:autoSpaceDE w:val="0"/>
        <w:autoSpaceDN w:val="0"/>
        <w:adjustRightInd w:val="0"/>
        <w:jc w:val="both"/>
        <w:rPr>
          <w:rFonts w:ascii="Arial" w:hAnsi="Arial" w:cs="Arial"/>
          <w:b/>
          <w:bCs/>
        </w:rPr>
      </w:pPr>
    </w:p>
    <w:p w:rsidR="002C7BF3" w:rsidRDefault="002C7BF3" w:rsidP="002C7BF3">
      <w:pPr>
        <w:autoSpaceDE w:val="0"/>
        <w:autoSpaceDN w:val="0"/>
        <w:adjustRightInd w:val="0"/>
        <w:jc w:val="center"/>
        <w:rPr>
          <w:rFonts w:ascii="Arial" w:hAnsi="Arial" w:cs="Arial"/>
          <w:bCs/>
        </w:rPr>
      </w:pPr>
      <w:r>
        <w:rPr>
          <w:rFonts w:ascii="Arial" w:hAnsi="Arial" w:cs="Arial"/>
          <w:bCs/>
        </w:rPr>
        <w:t>POUČENÍ O OPRAVNÉM PROSTŘEDKU:</w:t>
      </w:r>
    </w:p>
    <w:p w:rsidR="002C7BF3" w:rsidRDefault="002C7BF3" w:rsidP="002C7BF3">
      <w:pPr>
        <w:autoSpaceDE w:val="0"/>
        <w:autoSpaceDN w:val="0"/>
        <w:adjustRightInd w:val="0"/>
        <w:jc w:val="both"/>
        <w:rPr>
          <w:rFonts w:ascii="Arial" w:hAnsi="Arial" w:cs="Arial"/>
          <w:b/>
          <w:bCs/>
        </w:rPr>
      </w:pPr>
    </w:p>
    <w:p w:rsidR="002C7BF3" w:rsidRDefault="002C7BF3" w:rsidP="002C7BF3">
      <w:pPr>
        <w:autoSpaceDE w:val="0"/>
        <w:autoSpaceDN w:val="0"/>
        <w:adjustRightInd w:val="0"/>
        <w:ind w:firstLine="709"/>
        <w:jc w:val="both"/>
        <w:rPr>
          <w:rFonts w:ascii="Arial" w:hAnsi="Arial" w:cs="Arial"/>
        </w:rPr>
      </w:pPr>
      <w:r>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rsidR="002C7BF3" w:rsidRDefault="002C7BF3" w:rsidP="002C7BF3"/>
    <w:p w:rsidR="002C7BF3" w:rsidRDefault="002C7BF3" w:rsidP="002C7BF3">
      <w:pPr>
        <w:pStyle w:val="Text"/>
        <w:rPr>
          <w:sz w:val="20"/>
          <w:szCs w:val="20"/>
        </w:rPr>
      </w:pPr>
    </w:p>
    <w:p w:rsidR="002C7BF3" w:rsidRDefault="002C7BF3" w:rsidP="002C7BF3">
      <w:pPr>
        <w:pStyle w:val="Text"/>
        <w:rPr>
          <w:sz w:val="20"/>
          <w:szCs w:val="20"/>
        </w:rPr>
      </w:pPr>
    </w:p>
    <w:p w:rsidR="00E907CE" w:rsidRDefault="00E907CE" w:rsidP="002C7BF3">
      <w:pPr>
        <w:pStyle w:val="Text"/>
        <w:rPr>
          <w:sz w:val="20"/>
          <w:szCs w:val="20"/>
        </w:rPr>
      </w:pPr>
    </w:p>
    <w:p w:rsidR="00E907CE" w:rsidRDefault="00E907CE" w:rsidP="002C7BF3">
      <w:pPr>
        <w:pStyle w:val="Text"/>
        <w:rPr>
          <w:sz w:val="20"/>
          <w:szCs w:val="20"/>
        </w:rPr>
      </w:pPr>
    </w:p>
    <w:p w:rsidR="002C7BF3" w:rsidRDefault="002C7BF3" w:rsidP="002C7BF3">
      <w:pPr>
        <w:pStyle w:val="Text"/>
        <w:rPr>
          <w:sz w:val="20"/>
          <w:szCs w:val="20"/>
        </w:rPr>
      </w:pPr>
    </w:p>
    <w:tbl>
      <w:tblPr>
        <w:tblW w:w="0" w:type="auto"/>
        <w:tblInd w:w="4608" w:type="dxa"/>
        <w:tblLook w:val="01E0" w:firstRow="1" w:lastRow="1" w:firstColumn="1" w:lastColumn="1" w:noHBand="0" w:noVBand="0"/>
      </w:tblPr>
      <w:tblGrid>
        <w:gridCol w:w="4020"/>
      </w:tblGrid>
      <w:tr w:rsidR="002C7BF3" w:rsidRPr="003D1D06" w:rsidTr="00F23DFD">
        <w:tc>
          <w:tcPr>
            <w:tcW w:w="4020" w:type="dxa"/>
          </w:tcPr>
          <w:p w:rsidR="002C7BF3" w:rsidRPr="008027CB" w:rsidRDefault="002C7BF3" w:rsidP="00F23DFD">
            <w:pPr>
              <w:pStyle w:val="Text"/>
              <w:jc w:val="center"/>
            </w:pPr>
            <w:r w:rsidRPr="008027CB">
              <w:rPr>
                <w:b/>
              </w:rPr>
              <w:t>Ing. Bc. Miroslav Veselý</w:t>
            </w:r>
          </w:p>
        </w:tc>
      </w:tr>
      <w:tr w:rsidR="002C7BF3" w:rsidRPr="008321E0" w:rsidTr="00F23DFD">
        <w:tc>
          <w:tcPr>
            <w:tcW w:w="4020" w:type="dxa"/>
          </w:tcPr>
          <w:p w:rsidR="002C7BF3" w:rsidRDefault="002C7BF3" w:rsidP="00F23DFD">
            <w:pPr>
              <w:rPr>
                <w:rFonts w:ascii="Arial" w:hAnsi="Arial"/>
              </w:rPr>
            </w:pPr>
            <w:r>
              <w:rPr>
                <w:rFonts w:ascii="Arial" w:hAnsi="Arial"/>
              </w:rPr>
              <w:t xml:space="preserve">                 ředitel </w:t>
            </w:r>
            <w:r w:rsidRPr="008027CB">
              <w:rPr>
                <w:rFonts w:ascii="Arial" w:hAnsi="Arial"/>
              </w:rPr>
              <w:t xml:space="preserve">odboru </w:t>
            </w:r>
          </w:p>
          <w:p w:rsidR="002C7BF3" w:rsidRDefault="002C7BF3" w:rsidP="00F23DFD"/>
        </w:tc>
      </w:tr>
    </w:tbl>
    <w:p w:rsidR="002C7BF3" w:rsidRDefault="002C7BF3" w:rsidP="002C7BF3">
      <w:pPr>
        <w:pStyle w:val="Text"/>
        <w:spacing w:after="120" w:line="300" w:lineRule="exact"/>
        <w:jc w:val="both"/>
        <w:rPr>
          <w:sz w:val="20"/>
          <w:szCs w:val="20"/>
        </w:rPr>
      </w:pPr>
      <w:r>
        <w:rPr>
          <w:sz w:val="20"/>
          <w:szCs w:val="20"/>
          <w:u w:val="single"/>
        </w:rPr>
        <w:t>Rozdělovník:</w:t>
      </w:r>
    </w:p>
    <w:p w:rsidR="002C7BF3" w:rsidRDefault="002C7BF3" w:rsidP="002C7BF3">
      <w:pPr>
        <w:pStyle w:val="Text"/>
        <w:numPr>
          <w:ilvl w:val="0"/>
          <w:numId w:val="2"/>
        </w:numPr>
        <w:spacing w:after="120" w:line="300" w:lineRule="exact"/>
        <w:jc w:val="both"/>
        <w:rPr>
          <w:sz w:val="20"/>
          <w:szCs w:val="20"/>
        </w:rPr>
      </w:pPr>
      <w:r w:rsidRPr="00B40FA0">
        <w:rPr>
          <w:sz w:val="20"/>
          <w:szCs w:val="20"/>
        </w:rPr>
        <w:t>Originál rozhodnutí zůstane součástí správního spisu.</w:t>
      </w:r>
    </w:p>
    <w:p w:rsidR="009D1276" w:rsidRPr="002C7BF3" w:rsidRDefault="002C7BF3" w:rsidP="0056798E">
      <w:pPr>
        <w:pStyle w:val="Text"/>
        <w:numPr>
          <w:ilvl w:val="0"/>
          <w:numId w:val="2"/>
        </w:numPr>
        <w:spacing w:after="120" w:line="300" w:lineRule="exact"/>
        <w:jc w:val="both"/>
        <w:rPr>
          <w:sz w:val="20"/>
          <w:szCs w:val="20"/>
        </w:rPr>
      </w:pPr>
      <w:r w:rsidRPr="002C7BF3">
        <w:rPr>
          <w:sz w:val="20"/>
          <w:szCs w:val="20"/>
        </w:rPr>
        <w:t xml:space="preserve">Stejnopis rozhodnutí bude v souladu s § 72 odst. 1 a § 19 odst. 1 správního řádu oznámen městu Příbram, se sídlem Tyršova 108, 261 01 Příbram, doručením do datové schránky. </w:t>
      </w:r>
    </w:p>
    <w:sectPr w:rsidR="009D1276" w:rsidRPr="002C7BF3" w:rsidSect="000D6BCE">
      <w:headerReference w:type="default" r:id="rId8"/>
      <w:footerReference w:type="even" r:id="rId9"/>
      <w:footerReference w:type="default" r:id="rId10"/>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90D" w:rsidRDefault="001E690D">
      <w:r>
        <w:separator/>
      </w:r>
    </w:p>
  </w:endnote>
  <w:endnote w:type="continuationSeparator" w:id="0">
    <w:p w:rsidR="001E690D" w:rsidRDefault="001E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BoldMT">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D7575">
      <w:rPr>
        <w:rStyle w:val="slostrnky"/>
        <w:noProof/>
      </w:rPr>
      <w:t>2</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90D" w:rsidRDefault="001E690D">
      <w:r>
        <w:separator/>
      </w:r>
    </w:p>
  </w:footnote>
  <w:footnote w:type="continuationSeparator" w:id="0">
    <w:p w:rsidR="001E690D" w:rsidRDefault="001E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80333FC"/>
    <w:multiLevelType w:val="hybridMultilevel"/>
    <w:tmpl w:val="29260D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7FA83764"/>
    <w:multiLevelType w:val="hybridMultilevel"/>
    <w:tmpl w:val="707A522C"/>
    <w:lvl w:ilvl="0" w:tplc="04050013">
      <w:start w:val="1"/>
      <w:numFmt w:val="upperRoman"/>
      <w:lvlText w:val="%1."/>
      <w:lvlJc w:val="righ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F2"/>
    <w:rsid w:val="00016737"/>
    <w:rsid w:val="00021D22"/>
    <w:rsid w:val="000321A2"/>
    <w:rsid w:val="00036088"/>
    <w:rsid w:val="0003781F"/>
    <w:rsid w:val="0004248A"/>
    <w:rsid w:val="00082E19"/>
    <w:rsid w:val="000B37C6"/>
    <w:rsid w:val="000D6BCE"/>
    <w:rsid w:val="00130B82"/>
    <w:rsid w:val="00141387"/>
    <w:rsid w:val="001619BB"/>
    <w:rsid w:val="001A3A27"/>
    <w:rsid w:val="001B5A4B"/>
    <w:rsid w:val="001E690D"/>
    <w:rsid w:val="001F1002"/>
    <w:rsid w:val="002000C3"/>
    <w:rsid w:val="00245F8C"/>
    <w:rsid w:val="002779E7"/>
    <w:rsid w:val="002A4440"/>
    <w:rsid w:val="002C7BF3"/>
    <w:rsid w:val="002F7EC7"/>
    <w:rsid w:val="00316BCE"/>
    <w:rsid w:val="00324A57"/>
    <w:rsid w:val="00350769"/>
    <w:rsid w:val="003648D3"/>
    <w:rsid w:val="00377C56"/>
    <w:rsid w:val="003D0FD3"/>
    <w:rsid w:val="003E0D42"/>
    <w:rsid w:val="0042290C"/>
    <w:rsid w:val="00431C09"/>
    <w:rsid w:val="0044295B"/>
    <w:rsid w:val="004B06B2"/>
    <w:rsid w:val="004B1A2E"/>
    <w:rsid w:val="004B28F9"/>
    <w:rsid w:val="004D0B3D"/>
    <w:rsid w:val="0050779C"/>
    <w:rsid w:val="00510E23"/>
    <w:rsid w:val="00562956"/>
    <w:rsid w:val="00566D4D"/>
    <w:rsid w:val="0057145A"/>
    <w:rsid w:val="00581EF1"/>
    <w:rsid w:val="005942C7"/>
    <w:rsid w:val="005E7E43"/>
    <w:rsid w:val="005F6D82"/>
    <w:rsid w:val="00653A5B"/>
    <w:rsid w:val="00661399"/>
    <w:rsid w:val="006639D0"/>
    <w:rsid w:val="00671736"/>
    <w:rsid w:val="006A33B5"/>
    <w:rsid w:val="00701EF1"/>
    <w:rsid w:val="00726761"/>
    <w:rsid w:val="00750602"/>
    <w:rsid w:val="00762142"/>
    <w:rsid w:val="00774381"/>
    <w:rsid w:val="0079433D"/>
    <w:rsid w:val="007A0B0F"/>
    <w:rsid w:val="007C2517"/>
    <w:rsid w:val="007C5199"/>
    <w:rsid w:val="00814013"/>
    <w:rsid w:val="00824A8E"/>
    <w:rsid w:val="008321E0"/>
    <w:rsid w:val="008925E0"/>
    <w:rsid w:val="008A37D4"/>
    <w:rsid w:val="008A51D9"/>
    <w:rsid w:val="008B0CF2"/>
    <w:rsid w:val="008D7575"/>
    <w:rsid w:val="008E7A91"/>
    <w:rsid w:val="008F2678"/>
    <w:rsid w:val="008F69D4"/>
    <w:rsid w:val="00937463"/>
    <w:rsid w:val="00976F05"/>
    <w:rsid w:val="009A306A"/>
    <w:rsid w:val="009D1276"/>
    <w:rsid w:val="009D5A08"/>
    <w:rsid w:val="00A56885"/>
    <w:rsid w:val="00A661C5"/>
    <w:rsid w:val="00A709BF"/>
    <w:rsid w:val="00A74966"/>
    <w:rsid w:val="00A80FE9"/>
    <w:rsid w:val="00A907C2"/>
    <w:rsid w:val="00A91D2E"/>
    <w:rsid w:val="00AA1CC7"/>
    <w:rsid w:val="00AB1A89"/>
    <w:rsid w:val="00AD1308"/>
    <w:rsid w:val="00AD3BE4"/>
    <w:rsid w:val="00AE1168"/>
    <w:rsid w:val="00AF6280"/>
    <w:rsid w:val="00B21CD4"/>
    <w:rsid w:val="00B375EC"/>
    <w:rsid w:val="00B51755"/>
    <w:rsid w:val="00B521BF"/>
    <w:rsid w:val="00B7016D"/>
    <w:rsid w:val="00B7045A"/>
    <w:rsid w:val="00B775D1"/>
    <w:rsid w:val="00B92F88"/>
    <w:rsid w:val="00B9651D"/>
    <w:rsid w:val="00BB03C5"/>
    <w:rsid w:val="00C13657"/>
    <w:rsid w:val="00C30A9C"/>
    <w:rsid w:val="00C40CC2"/>
    <w:rsid w:val="00C655A0"/>
    <w:rsid w:val="00C92FC9"/>
    <w:rsid w:val="00C95DBE"/>
    <w:rsid w:val="00CC035E"/>
    <w:rsid w:val="00CD44F3"/>
    <w:rsid w:val="00CD4782"/>
    <w:rsid w:val="00CD5B3B"/>
    <w:rsid w:val="00CE7FB0"/>
    <w:rsid w:val="00DA5100"/>
    <w:rsid w:val="00DC209B"/>
    <w:rsid w:val="00DE1406"/>
    <w:rsid w:val="00DF18C0"/>
    <w:rsid w:val="00E05F51"/>
    <w:rsid w:val="00E22E22"/>
    <w:rsid w:val="00E375D4"/>
    <w:rsid w:val="00E67CA2"/>
    <w:rsid w:val="00E907CE"/>
    <w:rsid w:val="00E94B73"/>
    <w:rsid w:val="00ED279B"/>
    <w:rsid w:val="00EF39B0"/>
    <w:rsid w:val="00F064BA"/>
    <w:rsid w:val="00F137F1"/>
    <w:rsid w:val="00F217DA"/>
    <w:rsid w:val="00F2775E"/>
    <w:rsid w:val="00F32120"/>
    <w:rsid w:val="00F36ED6"/>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C5BF3A-8B03-4908-8BFC-EE45D5BB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Odstavecseseznamem">
    <w:name w:val="List Paragraph"/>
    <w:basedOn w:val="Normln"/>
    <w:uiPriority w:val="34"/>
    <w:qFormat/>
    <w:rsid w:val="002C7BF3"/>
    <w:pPr>
      <w:ind w:left="720"/>
      <w:contextualSpacing/>
    </w:pPr>
  </w:style>
  <w:style w:type="character" w:customStyle="1" w:styleId="TextChar">
    <w:name w:val="Text Char"/>
    <w:link w:val="Text"/>
    <w:qFormat/>
    <w:locked/>
    <w:rsid w:val="002C7BF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nohorskyc\AppData\Local\Temp\D011AE7.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84365-99AC-4E88-BEBA-80F87CE9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D011AE7.doc</Template>
  <TotalTime>1</TotalTime>
  <Pages>5</Pages>
  <Words>1749</Words>
  <Characters>10322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ČERNOHORSKÝ Čestmír, Mgr.</dc:creator>
  <cp:lastModifiedBy>ČERNOHORSKÝ Čestmír, Mgr.</cp:lastModifiedBy>
  <cp:revision>2</cp:revision>
  <cp:lastPrinted>2022-08-19T06:37:00Z</cp:lastPrinted>
  <dcterms:created xsi:type="dcterms:W3CDTF">2022-08-22T05:42:00Z</dcterms:created>
  <dcterms:modified xsi:type="dcterms:W3CDTF">2022-08-22T05:42:00Z</dcterms:modified>
</cp:coreProperties>
</file>