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A03B" w14:textId="7A7B7C39" w:rsidR="003737E2" w:rsidRPr="003737E2" w:rsidRDefault="003737E2" w:rsidP="003737E2">
      <w:pPr>
        <w:spacing w:after="120" w:line="240" w:lineRule="auto"/>
        <w:jc w:val="both"/>
        <w:rPr>
          <w:kern w:val="0"/>
          <w14:ligatures w14:val="none"/>
        </w:rPr>
      </w:pPr>
    </w:p>
    <w:p w14:paraId="39E4E6A1" w14:textId="6E597E55" w:rsidR="003737E2" w:rsidRPr="003737E2" w:rsidRDefault="0020288D" w:rsidP="003737E2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3737E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  <w14:ligatures w14:val="none"/>
        </w:rPr>
        <w:drawing>
          <wp:anchor distT="0" distB="0" distL="0" distR="0" simplePos="0" relativeHeight="251659264" behindDoc="0" locked="0" layoutInCell="1" allowOverlap="1" wp14:anchorId="67BB41A2" wp14:editId="6A9E6079">
            <wp:simplePos x="0" y="0"/>
            <wp:positionH relativeFrom="margin">
              <wp:posOffset>76835</wp:posOffset>
            </wp:positionH>
            <wp:positionV relativeFrom="margin">
              <wp:posOffset>323215</wp:posOffset>
            </wp:positionV>
            <wp:extent cx="1013460" cy="102108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0773F" w14:textId="77777777" w:rsidR="003737E2" w:rsidRPr="003737E2" w:rsidRDefault="003737E2" w:rsidP="003737E2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3737E2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                               OBEC TĚŠETICE</w:t>
      </w:r>
    </w:p>
    <w:p w14:paraId="7E9B6DAC" w14:textId="77777777" w:rsidR="003737E2" w:rsidRPr="003737E2" w:rsidRDefault="003737E2" w:rsidP="003737E2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3737E2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                      Zastupitelstvo obce Těšetice</w:t>
      </w:r>
    </w:p>
    <w:p w14:paraId="2BCB4BC2" w14:textId="77777777" w:rsidR="003737E2" w:rsidRPr="003737E2" w:rsidRDefault="003737E2" w:rsidP="003737E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31261716" w14:textId="77777777" w:rsidR="003737E2" w:rsidRPr="003737E2" w:rsidRDefault="003737E2" w:rsidP="003737E2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3737E2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            Obecně závazná vyhláška obce Těšetice,</w:t>
      </w:r>
    </w:p>
    <w:p w14:paraId="1D507705" w14:textId="77777777" w:rsidR="003737E2" w:rsidRPr="003737E2" w:rsidRDefault="003737E2" w:rsidP="003737E2">
      <w:pPr>
        <w:spacing w:after="0" w:line="276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3737E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kterou se stanoví část společného školského obvodu </w:t>
      </w:r>
    </w:p>
    <w:p w14:paraId="32F2ADFE" w14:textId="77777777" w:rsidR="003737E2" w:rsidRPr="003737E2" w:rsidRDefault="003737E2" w:rsidP="003737E2">
      <w:pPr>
        <w:spacing w:after="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3737E2">
        <w:rPr>
          <w:rFonts w:ascii="Arial" w:hAnsi="Arial" w:cs="Arial"/>
          <w:b/>
          <w:kern w:val="0"/>
          <w:sz w:val="24"/>
          <w:szCs w:val="24"/>
          <w14:ligatures w14:val="none"/>
        </w:rPr>
        <w:t>mateřské školy</w:t>
      </w:r>
    </w:p>
    <w:p w14:paraId="2309C570" w14:textId="77777777" w:rsidR="003737E2" w:rsidRPr="003737E2" w:rsidRDefault="003737E2" w:rsidP="003737E2">
      <w:pPr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</w:p>
    <w:p w14:paraId="48E81D33" w14:textId="77777777" w:rsidR="003737E2" w:rsidRPr="003737E2" w:rsidRDefault="003737E2" w:rsidP="003737E2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3737E2">
        <w:rPr>
          <w:rFonts w:ascii="Arial" w:hAnsi="Arial" w:cs="Arial"/>
          <w:kern w:val="0"/>
          <w14:ligatures w14:val="none"/>
        </w:rPr>
        <w:t>Zastupitelstvo obce Těšetice se na svém zasedání dne 17.06.2026 usnesením č. 24/3/2026 usneslo vydat na základě ustanovení § 178 odst. 2 písm. c) a § 179 odst. 3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0BB4FA42" w14:textId="77777777" w:rsidR="003737E2" w:rsidRPr="003737E2" w:rsidRDefault="003737E2" w:rsidP="003737E2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38F16974" w14:textId="77777777" w:rsidR="003737E2" w:rsidRPr="003737E2" w:rsidRDefault="003737E2" w:rsidP="003737E2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3737E2">
        <w:rPr>
          <w:rFonts w:ascii="Arial" w:hAnsi="Arial" w:cs="Arial"/>
          <w:b/>
          <w:kern w:val="0"/>
          <w:szCs w:val="24"/>
          <w14:ligatures w14:val="none"/>
        </w:rPr>
        <w:t>Čl. 1</w:t>
      </w:r>
    </w:p>
    <w:p w14:paraId="206758D1" w14:textId="77777777" w:rsidR="003737E2" w:rsidRPr="003737E2" w:rsidRDefault="003737E2" w:rsidP="003737E2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3737E2">
        <w:rPr>
          <w:rFonts w:ascii="Arial" w:hAnsi="Arial" w:cs="Arial"/>
          <w:b/>
          <w:kern w:val="0"/>
          <w:szCs w:val="24"/>
          <w14:ligatures w14:val="none"/>
        </w:rPr>
        <w:t xml:space="preserve">Stanovení školských obvodů </w:t>
      </w:r>
    </w:p>
    <w:p w14:paraId="37C6FCF4" w14:textId="2F3E6A49" w:rsidR="003737E2" w:rsidRPr="003737E2" w:rsidRDefault="003737E2" w:rsidP="003737E2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3737E2">
        <w:rPr>
          <w:rFonts w:ascii="Arial" w:hAnsi="Arial" w:cs="Arial"/>
          <w:kern w:val="0"/>
          <w14:ligatures w14:val="none"/>
        </w:rPr>
        <w:t>Na základě uzavřené dohody obcí Těšetice a obcí Bantice o vytvoření společného školského obvodu mateřské školy je území obce Těšetice částí školského obvodu Mateřsk</w:t>
      </w:r>
      <w:r w:rsidR="00EB4ED5">
        <w:rPr>
          <w:rFonts w:ascii="Arial" w:hAnsi="Arial" w:cs="Arial"/>
          <w:kern w:val="0"/>
          <w14:ligatures w14:val="none"/>
        </w:rPr>
        <w:t>á</w:t>
      </w:r>
      <w:r w:rsidRPr="003737E2">
        <w:rPr>
          <w:rFonts w:ascii="Arial" w:hAnsi="Arial" w:cs="Arial"/>
          <w:kern w:val="0"/>
          <w14:ligatures w14:val="none"/>
        </w:rPr>
        <w:t xml:space="preserve"> škol</w:t>
      </w:r>
      <w:r w:rsidR="00EB4ED5">
        <w:rPr>
          <w:rFonts w:ascii="Arial" w:hAnsi="Arial" w:cs="Arial"/>
          <w:kern w:val="0"/>
          <w14:ligatures w14:val="none"/>
        </w:rPr>
        <w:t>a</w:t>
      </w:r>
      <w:r w:rsidRPr="003737E2">
        <w:rPr>
          <w:rFonts w:ascii="Arial" w:hAnsi="Arial" w:cs="Arial"/>
          <w:kern w:val="0"/>
          <w14:ligatures w14:val="none"/>
        </w:rPr>
        <w:t>, Těšetice, okres Znojmo, příspěvkové organizace, IČ 70988323</w:t>
      </w:r>
      <w:r w:rsidR="00C4008B">
        <w:rPr>
          <w:rFonts w:ascii="Arial" w:hAnsi="Arial" w:cs="Arial"/>
          <w:kern w:val="0"/>
          <w14:ligatures w14:val="none"/>
        </w:rPr>
        <w:t>,</w:t>
      </w:r>
      <w:r w:rsidRPr="003737E2">
        <w:rPr>
          <w:rFonts w:ascii="Arial" w:hAnsi="Arial" w:cs="Arial"/>
          <w:kern w:val="0"/>
          <w14:ligatures w14:val="none"/>
        </w:rPr>
        <w:t xml:space="preserve"> se sídlem Těšetice </w:t>
      </w:r>
      <w:r w:rsidR="00C4008B">
        <w:rPr>
          <w:rFonts w:ascii="Arial" w:hAnsi="Arial" w:cs="Arial"/>
          <w:kern w:val="0"/>
          <w14:ligatures w14:val="none"/>
        </w:rPr>
        <w:t xml:space="preserve">č. p. </w:t>
      </w:r>
      <w:r w:rsidRPr="003737E2">
        <w:rPr>
          <w:rFonts w:ascii="Arial" w:hAnsi="Arial" w:cs="Arial"/>
          <w:kern w:val="0"/>
          <w14:ligatures w14:val="none"/>
        </w:rPr>
        <w:t>62</w:t>
      </w:r>
      <w:r w:rsidR="00C4008B">
        <w:rPr>
          <w:rFonts w:ascii="Arial" w:hAnsi="Arial" w:cs="Arial"/>
          <w:kern w:val="0"/>
          <w14:ligatures w14:val="none"/>
        </w:rPr>
        <w:t>, 671 61,</w:t>
      </w:r>
      <w:r w:rsidRPr="003737E2">
        <w:rPr>
          <w:rFonts w:ascii="Arial" w:hAnsi="Arial" w:cs="Arial"/>
          <w:kern w:val="0"/>
          <w14:ligatures w14:val="none"/>
        </w:rPr>
        <w:t xml:space="preserve"> zřízené obcí Těšetice.</w:t>
      </w:r>
    </w:p>
    <w:p w14:paraId="67E2EADD" w14:textId="77777777" w:rsidR="003737E2" w:rsidRPr="003737E2" w:rsidRDefault="003737E2" w:rsidP="003737E2">
      <w:pPr>
        <w:tabs>
          <w:tab w:val="left" w:pos="1134"/>
        </w:tabs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07591268" w14:textId="77777777" w:rsidR="003737E2" w:rsidRPr="003737E2" w:rsidRDefault="003737E2" w:rsidP="003737E2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3737E2">
        <w:rPr>
          <w:rFonts w:ascii="Arial" w:hAnsi="Arial" w:cs="Arial"/>
          <w:b/>
          <w:kern w:val="0"/>
          <w14:ligatures w14:val="none"/>
        </w:rPr>
        <w:t>Čl. 2</w:t>
      </w:r>
    </w:p>
    <w:p w14:paraId="7F23C564" w14:textId="77777777" w:rsidR="003737E2" w:rsidRPr="003737E2" w:rsidRDefault="003737E2" w:rsidP="003737E2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3737E2">
        <w:rPr>
          <w:rFonts w:ascii="Arial" w:hAnsi="Arial" w:cs="Arial"/>
          <w:b/>
          <w:kern w:val="0"/>
          <w14:ligatures w14:val="none"/>
        </w:rPr>
        <w:t>Účinnost</w:t>
      </w:r>
    </w:p>
    <w:p w14:paraId="3BA6E76E" w14:textId="7557BB7E" w:rsidR="003737E2" w:rsidRDefault="003737E2" w:rsidP="003737E2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3737E2">
        <w:rPr>
          <w:rFonts w:ascii="Arial" w:hAnsi="Arial" w:cs="Arial"/>
          <w:kern w:val="0"/>
          <w14:ligatures w14:val="none"/>
        </w:rPr>
        <w:t xml:space="preserve">Tato obecně závazná vyhláška nabývá účinnosti počátkem patnáctého dne následujícího </w:t>
      </w:r>
      <w:r w:rsidR="00D06BE4">
        <w:rPr>
          <w:rFonts w:ascii="Arial" w:hAnsi="Arial" w:cs="Arial"/>
          <w:kern w:val="0"/>
          <w14:ligatures w14:val="none"/>
        </w:rPr>
        <w:t xml:space="preserve">         </w:t>
      </w:r>
      <w:r w:rsidRPr="003737E2">
        <w:rPr>
          <w:rFonts w:ascii="Arial" w:hAnsi="Arial" w:cs="Arial"/>
          <w:kern w:val="0"/>
          <w14:ligatures w14:val="none"/>
        </w:rPr>
        <w:t>po dni jejího vyhlášení.</w:t>
      </w:r>
    </w:p>
    <w:p w14:paraId="37E8000F" w14:textId="77777777" w:rsidR="003737E2" w:rsidRDefault="003737E2" w:rsidP="003737E2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</w:p>
    <w:p w14:paraId="6201E17E" w14:textId="77777777" w:rsidR="003737E2" w:rsidRDefault="003737E2" w:rsidP="003737E2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</w:p>
    <w:p w14:paraId="60F87139" w14:textId="77777777" w:rsidR="003737E2" w:rsidRDefault="003737E2" w:rsidP="003737E2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</w:p>
    <w:p w14:paraId="79DB40DE" w14:textId="1EF058C1" w:rsidR="003737E2" w:rsidRPr="003737E2" w:rsidRDefault="003737E2" w:rsidP="003737E2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  <w:r w:rsidRPr="003737E2">
        <w:rPr>
          <w:rFonts w:ascii="Arial" w:hAnsi="Arial" w:cs="Arial"/>
          <w:kern w:val="0"/>
          <w14:ligatures w14:val="none"/>
        </w:rPr>
        <w:t>……………</w:t>
      </w:r>
      <w:r>
        <w:rPr>
          <w:rFonts w:ascii="Arial" w:hAnsi="Arial" w:cs="Arial"/>
          <w:kern w:val="0"/>
          <w14:ligatures w14:val="none"/>
        </w:rPr>
        <w:t xml:space="preserve">……………..                                                   </w:t>
      </w:r>
      <w:r w:rsidRPr="003737E2">
        <w:rPr>
          <w:rFonts w:ascii="Arial" w:hAnsi="Arial" w:cs="Arial"/>
          <w:kern w:val="0"/>
          <w14:ligatures w14:val="none"/>
        </w:rPr>
        <w:t>……………………………</w:t>
      </w:r>
      <w:r>
        <w:rPr>
          <w:rFonts w:ascii="Arial" w:hAnsi="Arial" w:cs="Arial"/>
          <w:kern w:val="0"/>
          <w14:ligatures w14:val="none"/>
        </w:rPr>
        <w:t>…………….</w:t>
      </w:r>
    </w:p>
    <w:p w14:paraId="6B5480F4" w14:textId="70A791D4" w:rsidR="003737E2" w:rsidRPr="003737E2" w:rsidRDefault="003737E2" w:rsidP="003737E2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Ing. Zdeněk Nekula v.r.                                                    </w:t>
      </w:r>
      <w:r w:rsidRPr="003737E2">
        <w:rPr>
          <w:rFonts w:ascii="Arial" w:hAnsi="Arial" w:cs="Arial"/>
          <w:kern w:val="0"/>
          <w14:ligatures w14:val="none"/>
        </w:rPr>
        <w:t>MUDr. Jiřina</w:t>
      </w:r>
      <w:r w:rsidR="00D612A2">
        <w:rPr>
          <w:rFonts w:ascii="Arial" w:hAnsi="Arial" w:cs="Arial"/>
          <w:kern w:val="0"/>
          <w14:ligatures w14:val="none"/>
        </w:rPr>
        <w:t xml:space="preserve"> </w:t>
      </w:r>
      <w:r w:rsidRPr="003737E2">
        <w:rPr>
          <w:rFonts w:ascii="Arial" w:hAnsi="Arial" w:cs="Arial"/>
          <w:kern w:val="0"/>
          <w14:ligatures w14:val="none"/>
        </w:rPr>
        <w:t>Hesová</w:t>
      </w:r>
      <w:r w:rsidR="00D612A2">
        <w:rPr>
          <w:rFonts w:ascii="Arial" w:hAnsi="Arial" w:cs="Arial"/>
          <w:kern w:val="0"/>
          <w14:ligatures w14:val="none"/>
        </w:rPr>
        <w:t xml:space="preserve"> Němečková</w:t>
      </w:r>
      <w:r w:rsidRPr="003737E2">
        <w:rPr>
          <w:rFonts w:ascii="Arial" w:hAnsi="Arial" w:cs="Arial"/>
          <w:kern w:val="0"/>
          <w14:ligatures w14:val="none"/>
        </w:rPr>
        <w:t xml:space="preserve"> v.r.</w:t>
      </w:r>
    </w:p>
    <w:p w14:paraId="28BD8D68" w14:textId="77777777" w:rsidR="003737E2" w:rsidRDefault="003737E2" w:rsidP="003737E2">
      <w:pPr>
        <w:spacing w:after="12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      s</w:t>
      </w:r>
      <w:r w:rsidRPr="003737E2">
        <w:rPr>
          <w:rFonts w:ascii="Arial" w:hAnsi="Arial" w:cs="Arial"/>
          <w:kern w:val="0"/>
          <w14:ligatures w14:val="none"/>
        </w:rPr>
        <w:t>tarosta</w:t>
      </w:r>
      <w:r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místostarosta      </w:t>
      </w:r>
    </w:p>
    <w:p w14:paraId="4BCBE55C" w14:textId="77777777" w:rsidR="0020288D" w:rsidRPr="0020288D" w:rsidRDefault="0020288D" w:rsidP="0020288D">
      <w:pPr>
        <w:rPr>
          <w:rFonts w:ascii="Arial" w:hAnsi="Arial" w:cs="Arial"/>
        </w:rPr>
      </w:pPr>
    </w:p>
    <w:p w14:paraId="4D51C931" w14:textId="77777777" w:rsidR="0020288D" w:rsidRDefault="0020288D" w:rsidP="0020288D">
      <w:pPr>
        <w:rPr>
          <w:rFonts w:ascii="Arial" w:hAnsi="Arial" w:cs="Arial"/>
          <w:kern w:val="0"/>
          <w14:ligatures w14:val="none"/>
        </w:rPr>
      </w:pPr>
    </w:p>
    <w:p w14:paraId="48E5DDE0" w14:textId="64321AEA" w:rsidR="00403A6A" w:rsidRDefault="00403A6A" w:rsidP="0020288D">
      <w:pPr>
        <w:tabs>
          <w:tab w:val="left" w:pos="3705"/>
        </w:tabs>
      </w:pPr>
    </w:p>
    <w:sectPr w:rsidR="0040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23A9" w14:textId="77777777" w:rsidR="004E53FD" w:rsidRDefault="004E53FD">
      <w:pPr>
        <w:spacing w:after="0" w:line="240" w:lineRule="auto"/>
      </w:pPr>
      <w:r>
        <w:separator/>
      </w:r>
    </w:p>
  </w:endnote>
  <w:endnote w:type="continuationSeparator" w:id="0">
    <w:p w14:paraId="635EED18" w14:textId="77777777" w:rsidR="004E53FD" w:rsidRDefault="004E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EADB" w14:textId="77777777" w:rsidR="004E53FD" w:rsidRDefault="004E53FD">
      <w:pPr>
        <w:spacing w:after="0" w:line="240" w:lineRule="auto"/>
      </w:pPr>
      <w:r>
        <w:separator/>
      </w:r>
    </w:p>
  </w:footnote>
  <w:footnote w:type="continuationSeparator" w:id="0">
    <w:p w14:paraId="161BD07F" w14:textId="77777777" w:rsidR="004E53FD" w:rsidRDefault="004E5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E2"/>
    <w:rsid w:val="000908BD"/>
    <w:rsid w:val="001B6244"/>
    <w:rsid w:val="001D3839"/>
    <w:rsid w:val="0020288D"/>
    <w:rsid w:val="00275EE2"/>
    <w:rsid w:val="002C18AB"/>
    <w:rsid w:val="00336B8F"/>
    <w:rsid w:val="003737E2"/>
    <w:rsid w:val="00403A6A"/>
    <w:rsid w:val="004E53FD"/>
    <w:rsid w:val="004E709C"/>
    <w:rsid w:val="00580993"/>
    <w:rsid w:val="0064224B"/>
    <w:rsid w:val="006A0109"/>
    <w:rsid w:val="007B1571"/>
    <w:rsid w:val="009732C4"/>
    <w:rsid w:val="009C3B4E"/>
    <w:rsid w:val="00BF48AF"/>
    <w:rsid w:val="00C4008B"/>
    <w:rsid w:val="00D06BE4"/>
    <w:rsid w:val="00D612A2"/>
    <w:rsid w:val="00E069DC"/>
    <w:rsid w:val="00EB4ED5"/>
    <w:rsid w:val="00F2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EDC5"/>
  <w15:chartTrackingRefBased/>
  <w15:docId w15:val="{A3A23D75-FFCE-4C15-B59D-A2B0C9CD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3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3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3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3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3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3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3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3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3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3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3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3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37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37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37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37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37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37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3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3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3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3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3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37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37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37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3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37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37E2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737E2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3737E2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73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administrativa@tesetice.cz</dc:creator>
  <cp:keywords/>
  <dc:description/>
  <cp:lastModifiedBy>administrativa@tesetice.cz</cp:lastModifiedBy>
  <cp:revision>8</cp:revision>
  <dcterms:created xsi:type="dcterms:W3CDTF">2026-06-10T10:37:00Z</dcterms:created>
  <dcterms:modified xsi:type="dcterms:W3CDTF">2026-06-18T09:32:00Z</dcterms:modified>
</cp:coreProperties>
</file>