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218C440A" w:rsidR="00394DC7" w:rsidRPr="00962BD2" w:rsidRDefault="00720DA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20DAD">
              <w:rPr>
                <w:rFonts w:ascii="Times New Roman" w:eastAsia="Times New Roman" w:hAnsi="Times New Roman"/>
                <w:lang w:eastAsia="cs-CZ"/>
              </w:rPr>
              <w:t>SZ UKZUZ 015027/2025/03692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191EFE1A" w:rsidR="00394DC7" w:rsidRPr="00962BD2" w:rsidRDefault="00CF793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F7939">
              <w:rPr>
                <w:rFonts w:ascii="Times New Roman" w:eastAsia="Times New Roman" w:hAnsi="Times New Roman"/>
                <w:lang w:eastAsia="cs-CZ"/>
              </w:rPr>
              <w:t>UKZUZ 120398/2025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5BC7E70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720DAD">
              <w:rPr>
                <w:rFonts w:ascii="Times New Roman" w:hAnsi="Times New Roman"/>
              </w:rPr>
              <w:t>kenja</w:t>
            </w:r>
            <w:proofErr w:type="spellEnd"/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059F9E85" w:rsidR="00394DC7" w:rsidRPr="00EA7B5F" w:rsidRDefault="00CF793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F7939">
              <w:rPr>
                <w:rFonts w:ascii="Times New Roman" w:hAnsi="Times New Roman"/>
              </w:rPr>
              <w:t>28</w:t>
            </w:r>
            <w:r w:rsidR="004C7A67" w:rsidRPr="00CF7939">
              <w:rPr>
                <w:rFonts w:ascii="Times New Roman" w:hAnsi="Times New Roman"/>
              </w:rPr>
              <w:t xml:space="preserve">. </w:t>
            </w:r>
            <w:r w:rsidR="00701C34" w:rsidRPr="00CF7939">
              <w:rPr>
                <w:rFonts w:ascii="Times New Roman" w:hAnsi="Times New Roman"/>
              </w:rPr>
              <w:t>červ</w:t>
            </w:r>
            <w:r w:rsidR="00720DAD" w:rsidRPr="00CF7939">
              <w:rPr>
                <w:rFonts w:ascii="Times New Roman" w:hAnsi="Times New Roman"/>
              </w:rPr>
              <w:t>ence</w:t>
            </w:r>
            <w:r w:rsidR="004C7A67" w:rsidRPr="00CF7939">
              <w:rPr>
                <w:rFonts w:ascii="Times New Roman" w:hAnsi="Times New Roman"/>
              </w:rPr>
              <w:t xml:space="preserve"> 202</w:t>
            </w:r>
            <w:r w:rsidR="00EF2210" w:rsidRPr="00CF7939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22BE1DE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20DAD">
        <w:rPr>
          <w:rFonts w:ascii="Times New Roman" w:hAnsi="Times New Roman"/>
          <w:b/>
          <w:bCs/>
          <w:sz w:val="28"/>
          <w:szCs w:val="28"/>
        </w:rPr>
        <w:t>Kenja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720DAD">
        <w:rPr>
          <w:rFonts w:ascii="Times New Roman" w:hAnsi="Times New Roman"/>
          <w:b/>
          <w:sz w:val="28"/>
          <w:szCs w:val="28"/>
        </w:rPr>
        <w:t>5442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805"/>
        <w:gridCol w:w="1306"/>
        <w:gridCol w:w="460"/>
        <w:gridCol w:w="1876"/>
        <w:gridCol w:w="1805"/>
      </w:tblGrid>
      <w:tr w:rsidR="007E7F26" w:rsidRPr="004B2D54" w14:paraId="1298592D" w14:textId="77777777" w:rsidTr="00720DAD">
        <w:tc>
          <w:tcPr>
            <w:tcW w:w="1131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63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7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1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63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720DAD" w:rsidRPr="00720DAD" w14:paraId="73ECC204" w14:textId="77777777" w:rsidTr="00720DAD">
        <w:tc>
          <w:tcPr>
            <w:tcW w:w="1131" w:type="pct"/>
          </w:tcPr>
          <w:p w14:paraId="503568BA" w14:textId="41FE9914" w:rsidR="00720DAD" w:rsidRPr="002C0D21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sareptská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další drobná listová zelenina</w:t>
            </w:r>
          </w:p>
        </w:tc>
        <w:tc>
          <w:tcPr>
            <w:tcW w:w="963" w:type="pct"/>
          </w:tcPr>
          <w:p w14:paraId="2BFF835C" w14:textId="38E0F39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hlízenka</w:t>
            </w:r>
            <w:proofErr w:type="spellEnd"/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obecná, plíseň šedá</w:t>
            </w:r>
          </w:p>
        </w:tc>
        <w:tc>
          <w:tcPr>
            <w:tcW w:w="697" w:type="pct"/>
          </w:tcPr>
          <w:p w14:paraId="045F2775" w14:textId="617829E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45" w:type="pct"/>
          </w:tcPr>
          <w:p w14:paraId="51796E79" w14:textId="538189AC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01" w:type="pct"/>
          </w:tcPr>
          <w:p w14:paraId="1FA3D0B6" w14:textId="6CCA6F70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6A8AAB62" w14:textId="77777777" w:rsidR="00720DAD" w:rsidRPr="00720DAD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do: 26 BBCH</w:t>
            </w:r>
          </w:p>
          <w:p w14:paraId="34B0AAC8" w14:textId="64DDC390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63" w:type="pct"/>
          </w:tcPr>
          <w:p w14:paraId="78947F83" w14:textId="0042F828" w:rsidR="00720DAD" w:rsidRPr="00A1159E" w:rsidRDefault="00720DAD" w:rsidP="00720DA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20DA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pole, chráněné prostory</w:t>
            </w:r>
          </w:p>
        </w:tc>
      </w:tr>
    </w:tbl>
    <w:p w14:paraId="1BB63D57" w14:textId="1D520AB6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lastRenderedPageBreak/>
        <w:t>OL (ochranná lhůta) je dána počtem dnů, které je nutné dodržet mezi termínem poslední aplikace a sklizní</w:t>
      </w:r>
    </w:p>
    <w:p w14:paraId="0B51C2A5" w14:textId="77777777" w:rsidR="00B6642C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8D49510" w14:textId="711831DD" w:rsidR="00720DAD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04265BD9" w14:textId="77777777" w:rsidR="00B6642C" w:rsidRPr="000C47EE" w:rsidRDefault="00B6642C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83" w:type="pct"/>
        <w:tblInd w:w="0" w:type="dxa"/>
        <w:tblLook w:val="01E0" w:firstRow="1" w:lastRow="1" w:firstColumn="1" w:lastColumn="1" w:noHBand="0" w:noVBand="0"/>
      </w:tblPr>
      <w:tblGrid>
        <w:gridCol w:w="2689"/>
        <w:gridCol w:w="1495"/>
        <w:gridCol w:w="1197"/>
        <w:gridCol w:w="2016"/>
        <w:gridCol w:w="1995"/>
      </w:tblGrid>
      <w:tr w:rsidR="00246F8B" w:rsidRPr="002C0D21" w14:paraId="13844A51" w14:textId="77777777" w:rsidTr="00246F8B">
        <w:tc>
          <w:tcPr>
            <w:tcW w:w="1432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6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37" w:type="pct"/>
          </w:tcPr>
          <w:p w14:paraId="7ADEA0CD" w14:textId="77777777" w:rsidR="002C0D21" w:rsidRPr="002C0D21" w:rsidRDefault="002C0D21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3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62" w:type="pct"/>
          </w:tcPr>
          <w:p w14:paraId="287E620D" w14:textId="77777777" w:rsidR="002C0D21" w:rsidRPr="002C0D21" w:rsidRDefault="002C0D21" w:rsidP="00720DAD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246F8B" w:rsidRPr="00720DAD" w14:paraId="6E571213" w14:textId="77777777" w:rsidTr="00246F8B">
        <w:tc>
          <w:tcPr>
            <w:tcW w:w="1432" w:type="pct"/>
          </w:tcPr>
          <w:p w14:paraId="5523C4BD" w14:textId="1EBF8DF4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796" w:type="pct"/>
          </w:tcPr>
          <w:p w14:paraId="583F7328" w14:textId="11ABDC5A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400-800 l/ha</w:t>
            </w:r>
          </w:p>
        </w:tc>
        <w:tc>
          <w:tcPr>
            <w:tcW w:w="637" w:type="pct"/>
          </w:tcPr>
          <w:p w14:paraId="15319FF9" w14:textId="122BD047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3" w:type="pct"/>
          </w:tcPr>
          <w:p w14:paraId="34C2E723" w14:textId="3AAEF82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2x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  </w:t>
            </w:r>
          </w:p>
          <w:p w14:paraId="1F8E012F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D2D027" w14:textId="35949111" w:rsidR="00720DAD" w:rsidRPr="00A1159E" w:rsidRDefault="00AA7B81" w:rsidP="00AA7B81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x za pěstební cyklus, 6x za rok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="00720DAD"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062" w:type="pct"/>
          </w:tcPr>
          <w:p w14:paraId="22B0AFAF" w14:textId="20F659E7" w:rsidR="00720DAD" w:rsidRPr="00720DAD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14 dnů (pole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, chráněné prostory mimo skleník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 xml:space="preserve">),  </w:t>
            </w:r>
          </w:p>
          <w:p w14:paraId="3EF0FD09" w14:textId="77777777" w:rsidR="00AA7B81" w:rsidRDefault="00AA7B81" w:rsidP="00AA7B81">
            <w:pPr>
              <w:widowControl w:val="0"/>
              <w:autoSpaceDE/>
              <w:autoSpaceDN/>
              <w:adjustRightInd/>
              <w:spacing w:before="0" w:after="0" w:line="240" w:lineRule="auto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1882097" w14:textId="25D030E8" w:rsidR="00720DAD" w:rsidRPr="00A1159E" w:rsidRDefault="00720DAD" w:rsidP="00720DAD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10 dnů (</w:t>
            </w:r>
            <w:r w:rsidR="00B6642C">
              <w:rPr>
                <w:rFonts w:ascii="Times New Roman" w:eastAsiaTheme="minorHAnsi" w:hAnsi="Times New Roman"/>
                <w:sz w:val="24"/>
                <w:szCs w:val="24"/>
              </w:rPr>
              <w:t>skleníky</w:t>
            </w:r>
            <w:r w:rsidRPr="00720DAD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DF7772C" w14:textId="77777777" w:rsidR="00B6642C" w:rsidRPr="00DF23E4" w:rsidRDefault="00B6642C" w:rsidP="00B6642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276"/>
        <w:gridCol w:w="1275"/>
        <w:gridCol w:w="1276"/>
        <w:gridCol w:w="1276"/>
      </w:tblGrid>
      <w:tr w:rsidR="00B6642C" w:rsidRPr="007E1DC1" w14:paraId="0BA387F8" w14:textId="77777777" w:rsidTr="00B6642C">
        <w:trPr>
          <w:trHeight w:val="220"/>
        </w:trPr>
        <w:tc>
          <w:tcPr>
            <w:tcW w:w="4282" w:type="dxa"/>
            <w:vMerge w:val="restart"/>
            <w:shd w:val="clear" w:color="auto" w:fill="FFFFFF"/>
            <w:vAlign w:val="center"/>
          </w:tcPr>
          <w:p w14:paraId="69A38FC0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2CE9E81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B6642C" w:rsidRPr="007E1DC1" w14:paraId="09E8075A" w14:textId="77777777" w:rsidTr="00B6642C">
        <w:trPr>
          <w:trHeight w:val="220"/>
        </w:trPr>
        <w:tc>
          <w:tcPr>
            <w:tcW w:w="4282" w:type="dxa"/>
            <w:vMerge/>
            <w:shd w:val="clear" w:color="auto" w:fill="FFFFFF"/>
            <w:vAlign w:val="center"/>
          </w:tcPr>
          <w:p w14:paraId="1BA3E50D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6E0C9" w14:textId="77777777" w:rsidR="00B6642C" w:rsidRPr="00DF1FDB" w:rsidRDefault="00B6642C" w:rsidP="00B6642C">
            <w:pPr>
              <w:pStyle w:val="Textvbloku"/>
              <w:spacing w:before="40" w:after="40"/>
              <w:ind w:left="-103" w:right="-105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2C3A80A6" w14:textId="77777777" w:rsidR="00B6642C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B661D12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7776214A" w14:textId="77777777" w:rsidR="00B6642C" w:rsidRPr="00DF1FDB" w:rsidRDefault="00B6642C" w:rsidP="00CD5C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B6642C" w:rsidRPr="007E1DC1" w14:paraId="238B1E9B" w14:textId="77777777" w:rsidTr="00B6642C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256EB7BA" w14:textId="7777777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6642C" w:rsidRPr="007E1DC1" w14:paraId="3CF7098E" w14:textId="77777777" w:rsidTr="00B6642C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2B21F774" w14:textId="5A0E2C2C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1276" w:type="dxa"/>
            <w:vAlign w:val="center"/>
          </w:tcPr>
          <w:p w14:paraId="511EDA22" w14:textId="55290605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7A31EA6" w14:textId="21D8C02A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7DB870B" w14:textId="1350D6A4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D8886F" w14:textId="1F46FAB7" w:rsidR="00B6642C" w:rsidRPr="00DF1FDB" w:rsidRDefault="00B6642C" w:rsidP="00CD5C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7DE6754" w14:textId="77777777" w:rsidR="00720DA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ED26FE" w14:textId="77777777" w:rsidR="00720DAD" w:rsidRPr="006E2374" w:rsidRDefault="00720DAD" w:rsidP="00720DAD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1276"/>
        <w:gridCol w:w="1276"/>
        <w:gridCol w:w="1276"/>
        <w:gridCol w:w="1276"/>
      </w:tblGrid>
      <w:tr w:rsidR="00720DAD" w:rsidRPr="006E2374" w14:paraId="75D3D503" w14:textId="77777777" w:rsidTr="00720DAD">
        <w:trPr>
          <w:trHeight w:val="340"/>
        </w:trPr>
        <w:tc>
          <w:tcPr>
            <w:tcW w:w="4248" w:type="dxa"/>
            <w:vMerge w:val="restart"/>
            <w:shd w:val="clear" w:color="auto" w:fill="FFFFFF"/>
            <w:vAlign w:val="center"/>
          </w:tcPr>
          <w:p w14:paraId="7DFDB689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4" w:type="dxa"/>
            <w:gridSpan w:val="4"/>
            <w:vAlign w:val="center"/>
          </w:tcPr>
          <w:p w14:paraId="0950A4ED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720DAD" w:rsidRPr="006E2374" w14:paraId="3E7EED10" w14:textId="77777777" w:rsidTr="00720DAD">
        <w:trPr>
          <w:trHeight w:val="340"/>
        </w:trPr>
        <w:tc>
          <w:tcPr>
            <w:tcW w:w="4248" w:type="dxa"/>
            <w:vMerge/>
            <w:shd w:val="clear" w:color="auto" w:fill="FFFFFF"/>
            <w:vAlign w:val="center"/>
          </w:tcPr>
          <w:p w14:paraId="5A9FC7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C00884" w14:textId="77777777" w:rsidR="00720DAD" w:rsidRPr="006E2374" w:rsidRDefault="00720DAD" w:rsidP="00720DAD">
            <w:pPr>
              <w:pStyle w:val="Textvbloku"/>
              <w:spacing w:before="40" w:after="40"/>
              <w:ind w:left="-113" w:right="-81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8138705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02FA734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4F2E4E4E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20DAD" w:rsidRPr="006E2374" w14:paraId="4CD5EE66" w14:textId="77777777" w:rsidTr="00720DAD">
        <w:trPr>
          <w:trHeight w:val="340"/>
        </w:trPr>
        <w:tc>
          <w:tcPr>
            <w:tcW w:w="9352" w:type="dxa"/>
            <w:gridSpan w:val="5"/>
            <w:shd w:val="clear" w:color="auto" w:fill="FFFFFF"/>
            <w:vAlign w:val="center"/>
          </w:tcPr>
          <w:p w14:paraId="265959C7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720DAD" w:rsidRPr="006E2374" w14:paraId="6697F1BB" w14:textId="77777777" w:rsidTr="00B6642C">
        <w:trPr>
          <w:trHeight w:val="717"/>
        </w:trPr>
        <w:tc>
          <w:tcPr>
            <w:tcW w:w="4248" w:type="dxa"/>
            <w:shd w:val="clear" w:color="auto" w:fill="FFFFFF"/>
          </w:tcPr>
          <w:p w14:paraId="4627A75B" w14:textId="2FD6B221" w:rsidR="00720DAD" w:rsidRPr="006E2374" w:rsidRDefault="00720DAD" w:rsidP="00A109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720DAD">
              <w:rPr>
                <w:rFonts w:eastAsiaTheme="minorHAnsi" w:cs="Arial"/>
                <w:sz w:val="24"/>
                <w:szCs w:val="24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720DAD">
              <w:rPr>
                <w:rFonts w:eastAsiaTheme="minorHAnsi" w:cs="Arial"/>
                <w:sz w:val="24"/>
                <w:szCs w:val="24"/>
              </w:rPr>
              <w:t>sareptská</w:t>
            </w:r>
            <w:proofErr w:type="spellEnd"/>
            <w:r w:rsidRPr="00720DAD">
              <w:rPr>
                <w:rFonts w:eastAsiaTheme="minorHAnsi" w:cs="Arial"/>
                <w:sz w:val="24"/>
                <w:szCs w:val="24"/>
              </w:rPr>
              <w:t xml:space="preserve"> a další drobná listová zelenina</w:t>
            </w:r>
          </w:p>
        </w:tc>
        <w:tc>
          <w:tcPr>
            <w:tcW w:w="1276" w:type="dxa"/>
            <w:vAlign w:val="center"/>
          </w:tcPr>
          <w:p w14:paraId="7A4C21E6" w14:textId="72B2E3D7" w:rsidR="00720DAD" w:rsidRPr="006E2374" w:rsidRDefault="00720DAD" w:rsidP="00720DAD">
            <w:pPr>
              <w:pStyle w:val="Textvbloku"/>
              <w:spacing w:before="40" w:after="40"/>
              <w:ind w:left="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5BD7E92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1AD975B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B94629C" w14:textId="77777777" w:rsidR="00720DAD" w:rsidRPr="006E2374" w:rsidRDefault="00720DAD" w:rsidP="00A109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358A823C" w14:textId="77777777" w:rsidR="00720DA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3B6024F7" w14:textId="77777777" w:rsidR="00246F8B" w:rsidRDefault="00246F8B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7125ACFE" w14:textId="60B5CEAA" w:rsidR="008A76C9" w:rsidRDefault="00B6642C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642C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32AF944" w14:textId="77777777" w:rsidR="00B6642C" w:rsidRDefault="00B6642C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1BB6DC" w14:textId="77777777" w:rsidR="00246F8B" w:rsidRDefault="00246F8B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9BD5C2" w14:textId="77777777" w:rsidR="00AA7B81" w:rsidRDefault="00AA7B81" w:rsidP="008A76C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1ED557DA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(</w:t>
      </w:r>
      <w:r w:rsidR="00720DAD">
        <w:rPr>
          <w:rFonts w:ascii="Times New Roman" w:hAnsi="Times New Roman"/>
          <w:sz w:val="24"/>
          <w:szCs w:val="24"/>
        </w:rPr>
        <w:t>5442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3159528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720DAD">
        <w:rPr>
          <w:rFonts w:ascii="Times New Roman" w:hAnsi="Times New Roman"/>
          <w:sz w:val="24"/>
          <w:szCs w:val="24"/>
        </w:rPr>
        <w:t>Kenja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6C0" w14:textId="77777777" w:rsidR="00BA5602" w:rsidRDefault="00BA5602" w:rsidP="00CE12AE">
      <w:pPr>
        <w:spacing w:after="0" w:line="240" w:lineRule="auto"/>
      </w:pPr>
      <w:r>
        <w:separator/>
      </w:r>
    </w:p>
  </w:endnote>
  <w:endnote w:type="continuationSeparator" w:id="0">
    <w:p w14:paraId="3D1A21F9" w14:textId="77777777" w:rsidR="00BA5602" w:rsidRDefault="00BA560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3010" w14:textId="77777777" w:rsidR="00BA5602" w:rsidRDefault="00BA5602" w:rsidP="00CE12AE">
      <w:pPr>
        <w:spacing w:after="0" w:line="240" w:lineRule="auto"/>
      </w:pPr>
      <w:r>
        <w:separator/>
      </w:r>
    </w:p>
  </w:footnote>
  <w:footnote w:type="continuationSeparator" w:id="0">
    <w:p w14:paraId="751D7E04" w14:textId="77777777" w:rsidR="00BA5602" w:rsidRDefault="00BA560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A5602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4262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2021-05-03T11:54:00Z</cp:lastPrinted>
  <dcterms:created xsi:type="dcterms:W3CDTF">2025-07-08T15:28:00Z</dcterms:created>
  <dcterms:modified xsi:type="dcterms:W3CDTF">2025-07-28T08:01:00Z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