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Ostrá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Ostrá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Ostrá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místního koeficientu pro jednotlivé skupiny nemovitých věcí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 Ostrá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>se na svém zasedání dne 22. srpna 2024 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jednotlivou skupiny nemovitých věcí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Obec stanovuje místní koeficient pro jednotlivé skupiny pozemků dle § 5a odst. 1 zákona o dani z nemovitých věcí, a to v následující výši: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vybrané zemědělské pozemky </w:t>
        <w:tab/>
        <w:tab/>
        <w:tab/>
        <w:tab/>
        <w:t>koeficient 1,5,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bookmarkStart w:id="0" w:name="_Hlk159331772"/>
      <w:r>
        <w:rPr>
          <w:rFonts w:cs="Arial" w:ascii="Arial" w:hAnsi="Arial"/>
        </w:rPr>
        <w:t>trvalé travní porosty</w:t>
        <w:tab/>
        <w:tab/>
        <w:tab/>
        <w:tab/>
        <w:tab/>
        <w:tab/>
        <w:t>koeficient 1,</w:t>
      </w:r>
      <w:bookmarkEnd w:id="0"/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lesní pozemky</w:t>
        <w:tab/>
        <w:tab/>
        <w:tab/>
        <w:tab/>
        <w:tab/>
        <w:tab/>
        <w:tab/>
        <w:t xml:space="preserve">koeficient </w:t>
      </w:r>
      <w:r>
        <w:rPr>
          <w:rFonts w:cs="Arial" w:ascii="Arial" w:hAnsi="Arial"/>
          <w:i/>
          <w:iCs/>
        </w:rPr>
        <w:t>1</w:t>
      </w:r>
      <w:r>
        <w:rPr>
          <w:rFonts w:cs="Arial" w:ascii="Arial" w:hAnsi="Arial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zemědělské zpevněné plochy pozemku</w:t>
        <w:tab/>
        <w:tab/>
        <w:tab/>
        <w:t>koeficient 1</w:t>
      </w:r>
      <w:r>
        <w:rPr>
          <w:rFonts w:cs="Arial" w:ascii="Arial" w:hAnsi="Arial"/>
          <w:i/>
          <w:iCs/>
        </w:rPr>
        <w:t>,5</w:t>
      </w:r>
      <w:r>
        <w:rPr>
          <w:rFonts w:cs="Arial" w:ascii="Arial" w:hAnsi="Arial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ostatní zpevněné plochy pozemku</w:t>
        <w:tab/>
        <w:tab/>
        <w:tab/>
        <w:tab/>
        <w:t>koeficient 1</w:t>
      </w:r>
      <w:r>
        <w:rPr>
          <w:rFonts w:cs="Arial" w:ascii="Arial" w:hAnsi="Arial"/>
          <w:i/>
          <w:iCs/>
        </w:rPr>
        <w:t>,5</w:t>
      </w:r>
      <w:r>
        <w:rPr>
          <w:rFonts w:cs="Arial" w:ascii="Arial" w:hAnsi="Arial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stavební pozemky</w:t>
        <w:tab/>
        <w:tab/>
        <w:tab/>
        <w:tab/>
        <w:tab/>
        <w:tab/>
        <w:t>koeficient 1</w:t>
      </w:r>
      <w:r>
        <w:rPr>
          <w:rFonts w:cs="Arial" w:ascii="Arial" w:hAnsi="Arial"/>
          <w:i/>
          <w:iCs/>
        </w:rPr>
        <w:t>,5</w:t>
      </w:r>
      <w:r>
        <w:rPr>
          <w:rFonts w:cs="Arial" w:ascii="Arial" w:hAnsi="Arial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nevyužitelné ostatní plochy</w:t>
        <w:tab/>
        <w:tab/>
        <w:tab/>
        <w:tab/>
        <w:tab/>
        <w:t xml:space="preserve">koeficient </w:t>
      </w:r>
      <w:r>
        <w:rPr>
          <w:rFonts w:cs="Arial" w:ascii="Arial" w:hAnsi="Arial"/>
          <w:i/>
          <w:iCs/>
        </w:rPr>
        <w:t>1</w:t>
      </w:r>
      <w:r>
        <w:rPr>
          <w:rFonts w:cs="Arial" w:ascii="Arial" w:hAnsi="Arial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jiné plochy</w:t>
        <w:tab/>
        <w:tab/>
        <w:tab/>
        <w:tab/>
        <w:tab/>
        <w:tab/>
        <w:tab/>
        <w:t>koeficient 1,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vybrané ostatní plochy</w:t>
        <w:tab/>
        <w:tab/>
        <w:tab/>
        <w:tab/>
        <w:tab/>
        <w:t>koeficient 2,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bookmarkStart w:id="1" w:name="_Hlk159331753"/>
      <w:r>
        <w:rPr>
          <w:rFonts w:cs="Arial" w:ascii="Arial" w:hAnsi="Arial"/>
        </w:rPr>
        <w:t>zastavěné plochy a nádvoří</w:t>
        <w:tab/>
        <w:tab/>
        <w:tab/>
        <w:tab/>
        <w:tab/>
        <w:t>koeficient 1.</w:t>
      </w:r>
      <w:bookmarkEnd w:id="1"/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Obec 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obytné budovy</w:t>
        <w:tab/>
        <w:tab/>
        <w:tab/>
        <w:tab/>
        <w:tab/>
        <w:tab/>
        <w:t>koeficient 1,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rekreační budovy</w:t>
        <w:tab/>
        <w:tab/>
        <w:tab/>
        <w:tab/>
        <w:tab/>
        <w:tab/>
        <w:t>koeficient 2,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garáže</w:t>
        <w:tab/>
        <w:tab/>
        <w:tab/>
        <w:tab/>
        <w:tab/>
        <w:tab/>
        <w:tab/>
        <w:tab/>
        <w:t>koeficient 1,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0"/>
        <w:ind w:left="709" w:hanging="43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podnikání v zemědělské prvovýrobě, lesním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nebo vodním hospodářství</w:t>
        <w:tab/>
        <w:tab/>
        <w:tab/>
        <w:tab/>
        <w:tab/>
        <w:t>koeficient 2,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0"/>
        <w:ind w:left="709" w:hanging="431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podnikání v průmyslu, stavebnictví, dopravě,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energetice nebo ostatní zemědělské výrobě</w:t>
        <w:tab/>
        <w:tab/>
        <w:t>koeficient 2,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0"/>
        <w:ind w:left="709" w:hanging="431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ostatní druhy podnikání</w:t>
        <w:tab/>
        <w:tab/>
        <w:tab/>
        <w:tab/>
        <w:tab/>
        <w:t>koeficient 2,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ostatní zdanitelné stavby</w:t>
        <w:tab/>
        <w:tab/>
        <w:tab/>
        <w:tab/>
        <w:tab/>
        <w:t>koeficient 2,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ostatní zdanitelné jednotky</w:t>
        <w:tab/>
        <w:tab/>
        <w:tab/>
        <w:tab/>
        <w:tab/>
        <w:t>koeficient 2.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Místní koeficient pro jednotlivou skupinu nemovitých věcí se vztahuje na všechny nemovité věci dané skupiny nemovitých věcí na území celé obce.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hd w:fill="auto" w:val="clear"/>
        </w:rPr>
        <w:t>Čl. 2</w:t>
      </w:r>
    </w:p>
    <w:p>
      <w:pPr>
        <w:pStyle w:val="Normal"/>
        <w:keepNext w:val="true"/>
        <w:spacing w:lineRule="auto" w:line="276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hd w:fill="auto" w:val="clear"/>
        </w:rPr>
        <w:t>Zrušovací ustanovení</w:t>
      </w:r>
    </w:p>
    <w:p>
      <w:pPr>
        <w:pStyle w:val="Normal"/>
        <w:spacing w:lineRule="auto" w:line="276"/>
        <w:ind w:firstLine="709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Zrušuje se obecně závazná vyhláška obce Ostrá č. 2/1995, o použití koeficientu pro výpočet daně z nemovitosti v k.ú. Ostrá, ze dne 8. 11. 1995. </w:t>
      </w:r>
    </w:p>
    <w:p>
      <w:pPr>
        <w:pStyle w:val="Normal"/>
        <w:spacing w:lineRule="auto" w:line="276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dnem 1. ledna 2025.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2694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Mgr. Jana Kaucká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starostka</w:t>
      </w:r>
    </w:p>
    <w:p>
      <w:pPr>
        <w:pStyle w:val="Normal"/>
        <w:rPr/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Jiří Čenský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gutter="0" w:header="0" w:top="1417" w:footer="708" w:bottom="2694"/>
          <w:cols w:num="2" w:space="708" w:equalWidth="true" w:sep="false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before="0" w:after="120"/>
        <w:rPr>
          <w:rFonts w:ascii="Arial" w:hAnsi="Arial" w:cs="Arial"/>
          <w:i/>
          <w:i/>
          <w:color w:val="00B0F0"/>
          <w:sz w:val="20"/>
          <w:szCs w:val="20"/>
        </w:rPr>
      </w:pPr>
      <w:r>
        <w:rPr/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gutter="0" w:header="0" w:top="1417" w:footer="708" w:bottom="2694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29795426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4 zákona o dani z nemovitých věcí.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925"/>
    <w:pPr>
      <w:widowControl/>
      <w:suppressAutoHyphens w:val="true"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Znakypropoznmkupodarou">
    <w:name w:val="Znaky pro poznámku pod čarou"/>
    <w:uiPriority w:val="99"/>
    <w:semiHidden/>
    <w:unhideWhenUsed/>
    <w:qFormat/>
    <w:rsid w:val="006a579c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Hyperlink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unhideWhenUsed/>
    <w:qFormat/>
    <w:rsid w:val="005e1409"/>
    <w:pPr>
      <w:spacing w:lineRule="auto" w:line="259"/>
      <w:outlineLvl w:val="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LibreOffice/7.5.1.2$Windows_X86_64 LibreOffice_project/fcbaee479e84c6cd81291587d2ee68cba099e129</Application>
  <AppVersion>15.0000</AppVersion>
  <Pages>3</Pages>
  <Words>375</Words>
  <Characters>2031</Characters>
  <CharactersWithSpaces>2419</CharactersWithSpaces>
  <Paragraphs>47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2024-08-15T12:33:00Z</dcterms:created>
  <dc:creator>Buřičová Lucie, Mgr.</dc:creator>
  <dc:description/>
  <dc:language>cs-CZ</dc:language>
  <cp:lastModifiedBy/>
  <dcterms:modified xsi:type="dcterms:W3CDTF">2024-08-26T17:00:54Z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