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E973" w14:textId="77777777" w:rsidR="00007968" w:rsidRDefault="00007968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02CBCBD5" w14:textId="77777777" w:rsidR="00007968" w:rsidRDefault="00007968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2CD30133" w14:textId="77777777" w:rsidR="00007968" w:rsidRPr="002D2309" w:rsidRDefault="00007968" w:rsidP="00007968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2D2309">
        <w:rPr>
          <w:rFonts w:eastAsia="Calibri"/>
          <w:b/>
          <w:sz w:val="36"/>
          <w:szCs w:val="36"/>
          <w:lang w:eastAsia="en-US"/>
        </w:rPr>
        <w:t>Obec Andělská Hora</w:t>
      </w:r>
    </w:p>
    <w:p w14:paraId="35E1CA0F" w14:textId="77777777" w:rsidR="00007968" w:rsidRPr="002D2309" w:rsidRDefault="00007968" w:rsidP="00007968">
      <w:pPr>
        <w:spacing w:after="200" w:line="276" w:lineRule="auto"/>
        <w:jc w:val="center"/>
        <w:rPr>
          <w:rFonts w:eastAsia="Calibri"/>
          <w:lang w:eastAsia="en-US"/>
        </w:rPr>
      </w:pPr>
    </w:p>
    <w:p w14:paraId="321174B2" w14:textId="6520857E" w:rsidR="00007968" w:rsidRPr="002D2309" w:rsidRDefault="00007968" w:rsidP="00007968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2D230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C7D4529" wp14:editId="3DE71514">
            <wp:extent cx="1257300" cy="1409700"/>
            <wp:effectExtent l="0" t="0" r="0" b="0"/>
            <wp:docPr id="1" name="Obrázek 1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Bez názv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6A2EF" w14:textId="77777777" w:rsidR="00007968" w:rsidRPr="002D2309" w:rsidRDefault="00007968" w:rsidP="00007968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14:paraId="1395959A" w14:textId="77777777" w:rsidR="00007968" w:rsidRPr="002D2309" w:rsidRDefault="00007968" w:rsidP="00007968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2D2309">
        <w:rPr>
          <w:rFonts w:eastAsia="Calibri"/>
          <w:b/>
          <w:sz w:val="32"/>
          <w:szCs w:val="32"/>
          <w:lang w:eastAsia="en-US"/>
        </w:rPr>
        <w:t>OBECNĚ ZÁVAZNÁ VYHLÁŠKA</w:t>
      </w:r>
    </w:p>
    <w:p w14:paraId="6C98E233" w14:textId="77777777" w:rsidR="00007968" w:rsidRPr="002D2309" w:rsidRDefault="00007968" w:rsidP="00007968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2D2309">
        <w:rPr>
          <w:rFonts w:eastAsia="Calibri"/>
          <w:b/>
          <w:sz w:val="32"/>
          <w:szCs w:val="32"/>
          <w:lang w:eastAsia="en-US"/>
        </w:rPr>
        <w:t>Obce Andělská Hora</w:t>
      </w:r>
    </w:p>
    <w:p w14:paraId="402AB3A4" w14:textId="0BFA90CD" w:rsidR="00007968" w:rsidRPr="002D2309" w:rsidRDefault="00007968" w:rsidP="00007968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2D2309">
        <w:rPr>
          <w:rFonts w:eastAsia="Calibri"/>
          <w:b/>
          <w:sz w:val="36"/>
          <w:szCs w:val="36"/>
          <w:lang w:eastAsia="en-US"/>
        </w:rPr>
        <w:t xml:space="preserve">č. </w:t>
      </w:r>
      <w:r>
        <w:rPr>
          <w:rFonts w:eastAsia="Calibri"/>
          <w:b/>
          <w:sz w:val="36"/>
          <w:szCs w:val="36"/>
          <w:lang w:eastAsia="en-US"/>
        </w:rPr>
        <w:t>2</w:t>
      </w:r>
      <w:r w:rsidRPr="002D2309">
        <w:rPr>
          <w:rFonts w:eastAsia="Calibri"/>
          <w:b/>
          <w:sz w:val="36"/>
          <w:szCs w:val="36"/>
          <w:lang w:eastAsia="en-US"/>
        </w:rPr>
        <w:t>/202</w:t>
      </w:r>
      <w:r>
        <w:rPr>
          <w:rFonts w:eastAsia="Calibri"/>
          <w:b/>
          <w:sz w:val="36"/>
          <w:szCs w:val="36"/>
          <w:lang w:eastAsia="en-US"/>
        </w:rPr>
        <w:t>1</w:t>
      </w:r>
      <w:r w:rsidRPr="002D2309">
        <w:rPr>
          <w:rFonts w:eastAsia="Calibri"/>
          <w:b/>
          <w:sz w:val="36"/>
          <w:szCs w:val="36"/>
          <w:lang w:eastAsia="en-US"/>
        </w:rPr>
        <w:t>,</w:t>
      </w:r>
    </w:p>
    <w:p w14:paraId="413A70D2" w14:textId="77777777" w:rsidR="00007968" w:rsidRPr="002D2309" w:rsidRDefault="00007968" w:rsidP="00007968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p w14:paraId="7A0704BF" w14:textId="77777777" w:rsidR="00007968" w:rsidRPr="002D2309" w:rsidRDefault="00007968" w:rsidP="00007968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p w14:paraId="40E3FF70" w14:textId="77777777" w:rsidR="00007968" w:rsidRPr="00007968" w:rsidRDefault="00007968" w:rsidP="00007968">
      <w:pPr>
        <w:jc w:val="center"/>
        <w:rPr>
          <w:rFonts w:ascii="Arial" w:hAnsi="Arial" w:cs="Arial"/>
          <w:b/>
          <w:i/>
          <w:iCs/>
        </w:rPr>
      </w:pPr>
      <w:r w:rsidRPr="00007968">
        <w:rPr>
          <w:rFonts w:ascii="Arial" w:hAnsi="Arial" w:cs="Arial"/>
          <w:b/>
          <w:i/>
          <w:iCs/>
        </w:rPr>
        <w:t>o místním poplatku za odkládání komunálního odpadu z nemovité věci</w:t>
      </w:r>
    </w:p>
    <w:p w14:paraId="21271009" w14:textId="77777777" w:rsidR="00007968" w:rsidRPr="002D2309" w:rsidRDefault="00007968" w:rsidP="00007968">
      <w:pPr>
        <w:spacing w:after="200"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729EE549" w14:textId="77777777" w:rsidR="00007968" w:rsidRPr="002D2309" w:rsidRDefault="00007968" w:rsidP="00007968">
      <w:pPr>
        <w:spacing w:after="200"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54CF0E51" w14:textId="77777777" w:rsidR="00007968" w:rsidRPr="002D2309" w:rsidRDefault="00007968" w:rsidP="0000796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6650960" w14:textId="64990965" w:rsidR="00007968" w:rsidRPr="002D2309" w:rsidRDefault="00007968" w:rsidP="0000796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2D2309">
        <w:rPr>
          <w:rFonts w:eastAsia="Calibri"/>
          <w:b/>
          <w:sz w:val="28"/>
          <w:szCs w:val="28"/>
          <w:lang w:eastAsia="en-US"/>
        </w:rPr>
        <w:t xml:space="preserve">schválena dne </w:t>
      </w:r>
      <w:r w:rsidR="0067214B">
        <w:rPr>
          <w:rFonts w:eastAsia="Calibri"/>
          <w:b/>
          <w:sz w:val="28"/>
          <w:szCs w:val="28"/>
          <w:lang w:eastAsia="en-US"/>
        </w:rPr>
        <w:t>20. 10.</w:t>
      </w:r>
      <w:r w:rsidRPr="002D2309">
        <w:rPr>
          <w:rFonts w:eastAsia="Calibri"/>
          <w:b/>
          <w:sz w:val="28"/>
          <w:szCs w:val="28"/>
          <w:lang w:eastAsia="en-US"/>
        </w:rPr>
        <w:t xml:space="preserve"> 202</w:t>
      </w:r>
      <w:r>
        <w:rPr>
          <w:rFonts w:eastAsia="Calibri"/>
          <w:b/>
          <w:sz w:val="28"/>
          <w:szCs w:val="28"/>
          <w:lang w:eastAsia="en-US"/>
        </w:rPr>
        <w:t>1</w:t>
      </w:r>
    </w:p>
    <w:p w14:paraId="0D257A73" w14:textId="5C76AB4D" w:rsidR="00007968" w:rsidRPr="002D2309" w:rsidRDefault="00007968" w:rsidP="0000796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2D2309">
        <w:rPr>
          <w:rFonts w:eastAsia="Calibri"/>
          <w:b/>
          <w:sz w:val="28"/>
          <w:szCs w:val="28"/>
          <w:lang w:eastAsia="en-US"/>
        </w:rPr>
        <w:t xml:space="preserve">usnesení č. </w:t>
      </w:r>
      <w:r w:rsidR="0067214B">
        <w:rPr>
          <w:rFonts w:eastAsia="Calibri"/>
          <w:b/>
          <w:sz w:val="28"/>
          <w:szCs w:val="28"/>
          <w:lang w:eastAsia="en-US"/>
        </w:rPr>
        <w:t>023/006</w:t>
      </w:r>
      <w:r>
        <w:rPr>
          <w:rFonts w:eastAsia="Calibri"/>
          <w:b/>
          <w:sz w:val="28"/>
          <w:szCs w:val="28"/>
          <w:lang w:eastAsia="en-US"/>
        </w:rPr>
        <w:t>/2021</w:t>
      </w:r>
    </w:p>
    <w:p w14:paraId="71D747B2" w14:textId="77777777" w:rsidR="00007968" w:rsidRPr="002D2309" w:rsidRDefault="00007968" w:rsidP="0000796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2D2309">
        <w:rPr>
          <w:rFonts w:eastAsia="Calibri"/>
          <w:b/>
          <w:sz w:val="28"/>
          <w:szCs w:val="28"/>
          <w:lang w:eastAsia="en-US"/>
        </w:rPr>
        <w:t>účinnost 1. 1. 202</w:t>
      </w:r>
      <w:r>
        <w:rPr>
          <w:rFonts w:eastAsia="Calibri"/>
          <w:b/>
          <w:sz w:val="28"/>
          <w:szCs w:val="28"/>
          <w:lang w:eastAsia="en-US"/>
        </w:rPr>
        <w:t>2</w:t>
      </w:r>
    </w:p>
    <w:p w14:paraId="79C5C564" w14:textId="77777777" w:rsidR="00007968" w:rsidRDefault="00007968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31E01505" w14:textId="77777777" w:rsidR="00007968" w:rsidRDefault="00007968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37E7A913" w14:textId="77777777" w:rsidR="00007968" w:rsidRDefault="00007968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F1FCB7" w14:textId="77777777" w:rsidR="00007968" w:rsidRDefault="00007968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09CA5E39" w14:textId="77777777" w:rsidR="00007968" w:rsidRDefault="00007968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185E7551" w14:textId="21E215B0" w:rsidR="00131160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966B622" w14:textId="77777777" w:rsidR="00007968" w:rsidRPr="002E0EAD" w:rsidRDefault="00007968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0F9373F" w14:textId="77777777" w:rsidR="00215AA7" w:rsidRDefault="00215AA7" w:rsidP="00131160">
      <w:pPr>
        <w:jc w:val="center"/>
        <w:rPr>
          <w:b/>
          <w:bCs/>
          <w:sz w:val="26"/>
          <w:szCs w:val="26"/>
        </w:rPr>
      </w:pPr>
    </w:p>
    <w:p w14:paraId="5D7EAB7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F856AA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C5A0BEC" w14:textId="3C703F3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lastRenderedPageBreak/>
        <w:t xml:space="preserve">OBEC </w:t>
      </w:r>
      <w:r w:rsidR="00007968">
        <w:rPr>
          <w:rFonts w:ascii="Arial" w:hAnsi="Arial" w:cs="Arial"/>
          <w:b/>
        </w:rPr>
        <w:t>Andělská Hora</w:t>
      </w:r>
    </w:p>
    <w:p w14:paraId="4588227E" w14:textId="1F33190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C48C0">
        <w:rPr>
          <w:rFonts w:ascii="Arial" w:hAnsi="Arial" w:cs="Arial"/>
          <w:b/>
        </w:rPr>
        <w:t>Andělská Hora</w:t>
      </w:r>
    </w:p>
    <w:p w14:paraId="7939C25E" w14:textId="77777777" w:rsidR="005C48C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C48C0">
        <w:rPr>
          <w:rFonts w:ascii="Arial" w:hAnsi="Arial" w:cs="Arial"/>
          <w:b/>
        </w:rPr>
        <w:t xml:space="preserve">Andělská Hora </w:t>
      </w:r>
    </w:p>
    <w:p w14:paraId="12A019BD" w14:textId="07483C3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č. </w:t>
      </w:r>
      <w:r w:rsidR="005C48C0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5C48C0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2308129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7BE2E2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5FC8AD2" w14:textId="4D28EDA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C48C0">
        <w:rPr>
          <w:rFonts w:ascii="Arial" w:hAnsi="Arial" w:cs="Arial"/>
          <w:b w:val="0"/>
          <w:sz w:val="22"/>
          <w:szCs w:val="22"/>
        </w:rPr>
        <w:t>Andělská Hora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7214B">
        <w:rPr>
          <w:rFonts w:ascii="Arial" w:hAnsi="Arial" w:cs="Arial"/>
          <w:b w:val="0"/>
          <w:sz w:val="22"/>
          <w:szCs w:val="22"/>
        </w:rPr>
        <w:t xml:space="preserve">20. 10. </w:t>
      </w:r>
      <w:r w:rsidR="005C48C0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7214B">
        <w:rPr>
          <w:rFonts w:ascii="Arial" w:hAnsi="Arial" w:cs="Arial"/>
          <w:b w:val="0"/>
          <w:sz w:val="22"/>
          <w:szCs w:val="22"/>
        </w:rPr>
        <w:t>023/006/2021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46664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71DA33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70AFD12" w14:textId="71CB8DAC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C48C0">
        <w:rPr>
          <w:rFonts w:ascii="Arial" w:hAnsi="Arial" w:cs="Arial"/>
          <w:sz w:val="22"/>
          <w:szCs w:val="22"/>
        </w:rPr>
        <w:t>Andělská Hora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B9B8D0E" w14:textId="07AAAA1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C48C0">
        <w:rPr>
          <w:rFonts w:ascii="Arial" w:hAnsi="Arial" w:cs="Arial"/>
          <w:sz w:val="22"/>
          <w:szCs w:val="22"/>
        </w:rPr>
        <w:t>Andělská Hora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7F330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FD6087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1104EA4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A5E25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BE9DC23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5AECFBB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E64086F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EA45973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208636D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6DB0D7D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CA1336E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F3EAD39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2882844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C7D9A42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993C2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34A6D5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F65D524" w14:textId="20847B1C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C48C0">
        <w:rPr>
          <w:rFonts w:ascii="Arial" w:hAnsi="Arial" w:cs="Arial"/>
          <w:sz w:val="22"/>
          <w:szCs w:val="22"/>
        </w:rPr>
        <w:t>15</w:t>
      </w:r>
      <w:r w:rsidR="005C48C0" w:rsidRPr="00392C27">
        <w:rPr>
          <w:rFonts w:ascii="Arial" w:hAnsi="Arial" w:cs="Arial"/>
          <w:sz w:val="22"/>
          <w:szCs w:val="22"/>
        </w:rPr>
        <w:t xml:space="preserve"> </w:t>
      </w:r>
      <w:r w:rsidR="005C48C0">
        <w:rPr>
          <w:rFonts w:ascii="Arial" w:hAnsi="Arial" w:cs="Arial"/>
          <w:sz w:val="22"/>
          <w:szCs w:val="22"/>
        </w:rPr>
        <w:t>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5C48C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4D6C5925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0A4BF4D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B4BD0A0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68F7A4C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495365DD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F77A83A" w14:textId="02E23B13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C7D83D9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6380051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D70C6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5A872965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E4BE4C1" w14:textId="77777777" w:rsidR="00772922" w:rsidRPr="00772922" w:rsidRDefault="00772922" w:rsidP="00AC7D8A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0938A85" w14:textId="77777777" w:rsidR="00772922" w:rsidRDefault="00772922" w:rsidP="00AC7D8A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735D1F5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82EC63D" w14:textId="77777777" w:rsidR="00AC7D8A" w:rsidRDefault="00AC7D8A" w:rsidP="001E58D2">
      <w:pPr>
        <w:pStyle w:val="Default"/>
        <w:ind w:left="567"/>
        <w:jc w:val="both"/>
        <w:rPr>
          <w:sz w:val="22"/>
          <w:szCs w:val="22"/>
        </w:rPr>
      </w:pPr>
    </w:p>
    <w:p w14:paraId="36C45BFA" w14:textId="274DFEB5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631278A" w14:textId="56C6C567" w:rsidR="00156DC6" w:rsidRDefault="00156DC6" w:rsidP="001E58D2">
      <w:pPr>
        <w:pStyle w:val="Default"/>
        <w:ind w:left="567"/>
        <w:jc w:val="both"/>
        <w:rPr>
          <w:sz w:val="22"/>
          <w:szCs w:val="22"/>
        </w:rPr>
      </w:pPr>
    </w:p>
    <w:p w14:paraId="228FEC64" w14:textId="74908EFB" w:rsidR="00156DC6" w:rsidRDefault="00156DC6" w:rsidP="00156DC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c)  Minimální základ dílčího poplatku činí 50 l.</w:t>
      </w:r>
    </w:p>
    <w:p w14:paraId="1864B142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69F0F456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BDA6C6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57D40C5" w14:textId="3BDBE0E8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C45957">
        <w:rPr>
          <w:rFonts w:ascii="Arial" w:hAnsi="Arial" w:cs="Arial"/>
          <w:sz w:val="22"/>
          <w:szCs w:val="22"/>
        </w:rPr>
        <w:t xml:space="preserve"> </w:t>
      </w:r>
      <w:r w:rsidR="00245311">
        <w:rPr>
          <w:rFonts w:ascii="Arial" w:hAnsi="Arial" w:cs="Arial"/>
          <w:sz w:val="22"/>
          <w:szCs w:val="22"/>
        </w:rPr>
        <w:t>0,5</w:t>
      </w:r>
      <w:r w:rsidR="00AE4330">
        <w:rPr>
          <w:rFonts w:ascii="Arial" w:hAnsi="Arial" w:cs="Arial"/>
          <w:sz w:val="22"/>
          <w:szCs w:val="22"/>
        </w:rPr>
        <w:t>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08AC0C90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B6AB851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82DEA9E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48E9E84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E64161B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00B0CFDF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A234B1F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705A51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0E9AB3D1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158B620" w14:textId="77777777" w:rsidR="00FA4620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</w:t>
      </w:r>
    </w:p>
    <w:p w14:paraId="5FF115EA" w14:textId="5F88C453" w:rsidR="00601AB9" w:rsidRDefault="007E7E61" w:rsidP="00FA4620">
      <w:pPr>
        <w:pStyle w:val="Odstavecseseznamem"/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A4620">
        <w:rPr>
          <w:rFonts w:ascii="Arial" w:hAnsi="Arial" w:cs="Arial"/>
          <w:sz w:val="22"/>
          <w:szCs w:val="22"/>
        </w:rPr>
        <w:t>a dílčí období od 1. ledna do 30. června do 15. července</w:t>
      </w:r>
      <w:r w:rsidR="003D711B" w:rsidRPr="00FA4620">
        <w:rPr>
          <w:rFonts w:ascii="Arial" w:hAnsi="Arial" w:cs="Arial"/>
          <w:sz w:val="22"/>
          <w:szCs w:val="22"/>
        </w:rPr>
        <w:t xml:space="preserve"> </w:t>
      </w:r>
      <w:r w:rsidR="002F23ED" w:rsidRPr="00FA4620">
        <w:rPr>
          <w:rFonts w:ascii="Arial" w:hAnsi="Arial" w:cs="Arial"/>
          <w:sz w:val="22"/>
          <w:szCs w:val="22"/>
        </w:rPr>
        <w:t>příslušného</w:t>
      </w:r>
      <w:r w:rsidR="00621E10" w:rsidRPr="00FA4620">
        <w:rPr>
          <w:rFonts w:ascii="Arial" w:hAnsi="Arial" w:cs="Arial"/>
          <w:sz w:val="22"/>
          <w:szCs w:val="22"/>
        </w:rPr>
        <w:t xml:space="preserve"> </w:t>
      </w:r>
      <w:r w:rsidR="00601AB9" w:rsidRPr="00FA4620">
        <w:rPr>
          <w:rFonts w:ascii="Arial" w:hAnsi="Arial" w:cs="Arial"/>
          <w:sz w:val="22"/>
          <w:szCs w:val="22"/>
        </w:rPr>
        <w:t>kalendářního roku</w:t>
      </w:r>
      <w:r w:rsidR="00FA4620">
        <w:rPr>
          <w:rFonts w:ascii="Arial" w:hAnsi="Arial" w:cs="Arial"/>
          <w:sz w:val="22"/>
          <w:szCs w:val="22"/>
        </w:rPr>
        <w:t>,</w:t>
      </w:r>
      <w:r w:rsidR="00601AB9" w:rsidRPr="00FA4620">
        <w:rPr>
          <w:rFonts w:ascii="Arial" w:hAnsi="Arial" w:cs="Arial"/>
          <w:sz w:val="22"/>
          <w:szCs w:val="22"/>
        </w:rPr>
        <w:t xml:space="preserve"> </w:t>
      </w:r>
    </w:p>
    <w:p w14:paraId="1CE09F90" w14:textId="6B617632" w:rsidR="007E7E61" w:rsidRPr="00FA4620" w:rsidRDefault="007E7E61" w:rsidP="00FA4620">
      <w:pPr>
        <w:pStyle w:val="Odstavecseseznamem"/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července do 31. prosince do 15. ledna následujícího kalendářního roku.</w:t>
      </w:r>
    </w:p>
    <w:p w14:paraId="3EE2ACAA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1906DCDD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53BB5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2247B7A7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45D457B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93F41EB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AD0C418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5FF799B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34E8DB38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42EB7C0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F4C3ABB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A760D0C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DDF5B9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CC9FF67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C581850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7ECFABD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95C0FB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EB7023B" w14:textId="69E4E18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2106D">
        <w:rPr>
          <w:rFonts w:ascii="Arial" w:hAnsi="Arial" w:cs="Arial"/>
          <w:sz w:val="22"/>
          <w:szCs w:val="22"/>
        </w:rPr>
        <w:t>1. ledna 2022.</w:t>
      </w:r>
    </w:p>
    <w:p w14:paraId="1DDD42B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1BB8646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D98486D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61F4E85" w14:textId="2E95C84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A1424B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1D2AAD2" w14:textId="7375D77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34DB7">
        <w:rPr>
          <w:rFonts w:ascii="Arial" w:hAnsi="Arial" w:cs="Arial"/>
          <w:sz w:val="22"/>
          <w:szCs w:val="22"/>
        </w:rPr>
        <w:t xml:space="preserve">Václav </w:t>
      </w:r>
      <w:proofErr w:type="spellStart"/>
      <w:r w:rsidR="00134DB7">
        <w:rPr>
          <w:rFonts w:ascii="Arial" w:hAnsi="Arial" w:cs="Arial"/>
          <w:sz w:val="22"/>
          <w:szCs w:val="22"/>
        </w:rPr>
        <w:t>Štýs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34DB7">
        <w:rPr>
          <w:rFonts w:ascii="Arial" w:hAnsi="Arial" w:cs="Arial"/>
          <w:sz w:val="22"/>
          <w:szCs w:val="22"/>
        </w:rPr>
        <w:t>Miloslava Křimská</w:t>
      </w:r>
    </w:p>
    <w:p w14:paraId="19F028A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D54A43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2783FCE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A3487BF" w14:textId="50D64A2E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E7E61">
        <w:rPr>
          <w:rFonts w:ascii="Arial" w:hAnsi="Arial" w:cs="Arial"/>
          <w:sz w:val="22"/>
          <w:szCs w:val="22"/>
        </w:rPr>
        <w:t xml:space="preserve"> 1. 11. 2021</w:t>
      </w:r>
    </w:p>
    <w:p w14:paraId="3C486FEC" w14:textId="67EE8B66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910471">
        <w:rPr>
          <w:rFonts w:ascii="Arial" w:hAnsi="Arial" w:cs="Arial"/>
          <w:sz w:val="22"/>
          <w:szCs w:val="22"/>
        </w:rPr>
        <w:t xml:space="preserve"> 17. 11. 2021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230D" w14:textId="77777777" w:rsidR="00266DAC" w:rsidRDefault="00266DAC">
      <w:r>
        <w:separator/>
      </w:r>
    </w:p>
  </w:endnote>
  <w:endnote w:type="continuationSeparator" w:id="0">
    <w:p w14:paraId="1E18DE01" w14:textId="77777777" w:rsidR="00266DAC" w:rsidRDefault="002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E02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64F95BF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79CA" w14:textId="77777777" w:rsidR="00266DAC" w:rsidRDefault="00266DAC">
      <w:r>
        <w:separator/>
      </w:r>
    </w:p>
  </w:footnote>
  <w:footnote w:type="continuationSeparator" w:id="0">
    <w:p w14:paraId="60EA39C8" w14:textId="77777777" w:rsidR="00266DAC" w:rsidRDefault="00266DAC">
      <w:r>
        <w:continuationSeparator/>
      </w:r>
    </w:p>
  </w:footnote>
  <w:footnote w:id="1">
    <w:p w14:paraId="6888318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BE1C9EF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00CBC4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39EC8B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D8678F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ADC1C1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92D545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2B09BF9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006BA0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D1A5EC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47B3BF48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5BDFAB5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447CB84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1577806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3A43568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DA1853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8814BD0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3465A2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CFDFF7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D36C7B"/>
    <w:multiLevelType w:val="hybridMultilevel"/>
    <w:tmpl w:val="DB502E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92666A"/>
    <w:multiLevelType w:val="hybridMultilevel"/>
    <w:tmpl w:val="92429C9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2"/>
  </w:num>
  <w:num w:numId="29">
    <w:abstractNumId w:val="19"/>
  </w:num>
  <w:num w:numId="30">
    <w:abstractNumId w:val="1"/>
  </w:num>
  <w:num w:numId="31">
    <w:abstractNumId w:val="16"/>
  </w:num>
  <w:num w:numId="32">
    <w:abstractNumId w:val="14"/>
  </w:num>
  <w:num w:numId="33">
    <w:abstractNumId w:val="1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7968"/>
    <w:rsid w:val="00010B51"/>
    <w:rsid w:val="000129AF"/>
    <w:rsid w:val="000166A8"/>
    <w:rsid w:val="00017B56"/>
    <w:rsid w:val="0002106D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4DB7"/>
    <w:rsid w:val="0014154F"/>
    <w:rsid w:val="001465CC"/>
    <w:rsid w:val="00154BC3"/>
    <w:rsid w:val="00156DC6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D7EC9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45311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23ED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D711B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16E2"/>
    <w:rsid w:val="005620CD"/>
    <w:rsid w:val="005736D7"/>
    <w:rsid w:val="00576D09"/>
    <w:rsid w:val="005867F5"/>
    <w:rsid w:val="005B3A3F"/>
    <w:rsid w:val="005B47E4"/>
    <w:rsid w:val="005B5A07"/>
    <w:rsid w:val="005C325D"/>
    <w:rsid w:val="005C4381"/>
    <w:rsid w:val="005C48C0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1E10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214B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566E"/>
    <w:rsid w:val="007A65BA"/>
    <w:rsid w:val="007A6850"/>
    <w:rsid w:val="007B11D2"/>
    <w:rsid w:val="007B1993"/>
    <w:rsid w:val="007D1B94"/>
    <w:rsid w:val="007D5AA9"/>
    <w:rsid w:val="007D7D86"/>
    <w:rsid w:val="007E04B6"/>
    <w:rsid w:val="007E7E61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0471"/>
    <w:rsid w:val="00915F90"/>
    <w:rsid w:val="0091776D"/>
    <w:rsid w:val="00917AB7"/>
    <w:rsid w:val="00924CDB"/>
    <w:rsid w:val="00931436"/>
    <w:rsid w:val="00936907"/>
    <w:rsid w:val="0093742A"/>
    <w:rsid w:val="00942E81"/>
    <w:rsid w:val="00944ED9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C7D8A"/>
    <w:rsid w:val="00AD1777"/>
    <w:rsid w:val="00AD79BB"/>
    <w:rsid w:val="00AD7BCB"/>
    <w:rsid w:val="00AE4330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5957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4620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B05880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1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959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Miloslava Křimská</cp:lastModifiedBy>
  <cp:revision>5</cp:revision>
  <cp:lastPrinted>2021-12-07T08:29:00Z</cp:lastPrinted>
  <dcterms:created xsi:type="dcterms:W3CDTF">2021-10-25T13:55:00Z</dcterms:created>
  <dcterms:modified xsi:type="dcterms:W3CDTF">2021-12-07T08:30:00Z</dcterms:modified>
</cp:coreProperties>
</file>