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29" w:rsidRDefault="00EC1129">
      <w:pPr>
        <w:pStyle w:val="Zkladntext"/>
        <w:spacing w:before="0"/>
        <w:ind w:left="0" w:firstLine="0"/>
        <w:rPr>
          <w:sz w:val="32"/>
        </w:rPr>
      </w:pPr>
    </w:p>
    <w:p w:rsidR="00EC1129" w:rsidRDefault="00EC1129">
      <w:pPr>
        <w:pStyle w:val="Zkladntext"/>
        <w:spacing w:before="353"/>
        <w:ind w:left="0" w:firstLine="0"/>
        <w:rPr>
          <w:sz w:val="32"/>
        </w:rPr>
      </w:pPr>
    </w:p>
    <w:p w:rsidR="00EC1129" w:rsidRDefault="007A2A85">
      <w:pPr>
        <w:pStyle w:val="Nzev"/>
        <w:tabs>
          <w:tab w:val="left" w:pos="3371"/>
          <w:tab w:val="left" w:pos="5109"/>
          <w:tab w:val="left" w:pos="6412"/>
          <w:tab w:val="left" w:pos="7506"/>
        </w:tabs>
        <w:spacing w:line="480" w:lineRule="auto"/>
      </w:pPr>
      <w:r>
        <w:rPr>
          <w:sz w:val="40"/>
        </w:rPr>
        <w:t xml:space="preserve">S </w:t>
      </w:r>
      <w:r>
        <w:t>T A T U T Á R N Í</w:t>
      </w:r>
      <w:r>
        <w:tab/>
        <w:t>M Ě S T O</w:t>
      </w:r>
      <w:r>
        <w:tab/>
      </w:r>
      <w:r>
        <w:rPr>
          <w:sz w:val="40"/>
        </w:rPr>
        <w:t xml:space="preserve">Ú </w:t>
      </w:r>
      <w:r>
        <w:t>S T Í</w:t>
      </w:r>
      <w:r>
        <w:tab/>
        <w:t>N A D</w:t>
      </w:r>
      <w:r>
        <w:tab/>
      </w:r>
      <w:r>
        <w:rPr>
          <w:sz w:val="40"/>
        </w:rPr>
        <w:t>L</w:t>
      </w:r>
      <w:r>
        <w:rPr>
          <w:spacing w:val="-25"/>
          <w:sz w:val="4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 ZASTUPITELSTVO MĚSTA ÚSTÍ NAD LABEM</w:t>
      </w:r>
    </w:p>
    <w:p w:rsidR="00EC1129" w:rsidRDefault="007A2A85">
      <w:pPr>
        <w:spacing w:before="91" w:line="322" w:lineRule="exact"/>
        <w:jc w:val="center"/>
        <w:rPr>
          <w:b/>
          <w:sz w:val="28"/>
        </w:rPr>
      </w:pPr>
      <w:r>
        <w:rPr>
          <w:b/>
          <w:sz w:val="28"/>
        </w:rPr>
        <w:t>obecně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závazná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vyhláška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1/2021,</w:t>
      </w:r>
    </w:p>
    <w:p w:rsidR="00EC1129" w:rsidRDefault="007A2A85">
      <w:pPr>
        <w:ind w:left="248" w:right="251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regulaci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provozování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hazardních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her</w:t>
      </w:r>
    </w:p>
    <w:p w:rsidR="00EC1129" w:rsidRDefault="007A2A85">
      <w:pPr>
        <w:pStyle w:val="Zkladntext"/>
        <w:spacing w:before="315" w:line="276" w:lineRule="auto"/>
        <w:ind w:left="116" w:right="116" w:firstLine="0"/>
        <w:jc w:val="both"/>
      </w:pPr>
      <w:r>
        <w:t>Zastupitelstvo statutárního města Ústí nad Labem se na svém zasedání dne 24. 5. 2021 usnesením</w:t>
      </w:r>
      <w:r>
        <w:rPr>
          <w:spacing w:val="-12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252/18Z/21</w:t>
      </w:r>
      <w:r>
        <w:rPr>
          <w:spacing w:val="3"/>
        </w:rPr>
        <w:t xml:space="preserve"> </w:t>
      </w:r>
      <w:r>
        <w:t>usneslo</w:t>
      </w:r>
      <w:r>
        <w:rPr>
          <w:spacing w:val="-10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základě</w:t>
      </w:r>
      <w:r>
        <w:rPr>
          <w:spacing w:val="-9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písm.</w:t>
      </w:r>
      <w:r>
        <w:rPr>
          <w:spacing w:val="-10"/>
        </w:rPr>
        <w:t xml:space="preserve"> </w:t>
      </w:r>
      <w:r>
        <w:t>a)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84</w:t>
      </w:r>
      <w:r>
        <w:rPr>
          <w:spacing w:val="-10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rPr>
          <w:spacing w:val="-2"/>
        </w:rPr>
        <w:t>písm.</w:t>
      </w:r>
    </w:p>
    <w:p w:rsidR="00EC1129" w:rsidRDefault="007A2A85">
      <w:pPr>
        <w:pStyle w:val="Odstavecseseznamem"/>
        <w:numPr>
          <w:ilvl w:val="0"/>
          <w:numId w:val="6"/>
        </w:numPr>
        <w:tabs>
          <w:tab w:val="left" w:pos="369"/>
        </w:tabs>
        <w:spacing w:before="0" w:line="276" w:lineRule="auto"/>
        <w:ind w:right="117" w:firstLine="0"/>
        <w:jc w:val="both"/>
        <w:rPr>
          <w:sz w:val="24"/>
        </w:rPr>
      </w:pPr>
      <w:r>
        <w:rPr>
          <w:sz w:val="24"/>
        </w:rPr>
        <w:t>zákona</w:t>
      </w:r>
      <w:r>
        <w:rPr>
          <w:spacing w:val="-8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128/2000</w:t>
      </w:r>
      <w:r>
        <w:rPr>
          <w:spacing w:val="-7"/>
          <w:sz w:val="24"/>
        </w:rPr>
        <w:t xml:space="preserve"> </w:t>
      </w:r>
      <w:r>
        <w:rPr>
          <w:sz w:val="24"/>
        </w:rPr>
        <w:t>Sb.,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obcích</w:t>
      </w:r>
      <w:r>
        <w:rPr>
          <w:spacing w:val="-5"/>
          <w:sz w:val="24"/>
        </w:rPr>
        <w:t xml:space="preserve"> </w:t>
      </w:r>
      <w:r>
        <w:rPr>
          <w:sz w:val="24"/>
        </w:rPr>
        <w:t>(obecní</w:t>
      </w:r>
      <w:r>
        <w:rPr>
          <w:spacing w:val="-7"/>
          <w:sz w:val="24"/>
        </w:rPr>
        <w:t xml:space="preserve"> </w:t>
      </w:r>
      <w:r>
        <w:rPr>
          <w:sz w:val="24"/>
        </w:rPr>
        <w:t>zřízení),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znění</w:t>
      </w:r>
      <w:r>
        <w:rPr>
          <w:spacing w:val="-7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7"/>
          <w:sz w:val="24"/>
        </w:rPr>
        <w:t xml:space="preserve"> </w:t>
      </w:r>
      <w:r>
        <w:rPr>
          <w:sz w:val="24"/>
        </w:rPr>
        <w:t>předpisů,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 souladu s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ustanovením § 12 odst. 1 zákona č. 186/2016 Sb., o hazardních hrách, ve znění pozdějších předpisů</w:t>
      </w:r>
      <w:r>
        <w:rPr>
          <w:spacing w:val="52"/>
          <w:sz w:val="24"/>
        </w:rPr>
        <w:t xml:space="preserve"> </w:t>
      </w:r>
      <w:r>
        <w:rPr>
          <w:sz w:val="24"/>
        </w:rPr>
        <w:t>(dále</w:t>
      </w:r>
      <w:r>
        <w:rPr>
          <w:spacing w:val="51"/>
          <w:sz w:val="24"/>
        </w:rPr>
        <w:t xml:space="preserve"> </w:t>
      </w:r>
      <w:r>
        <w:rPr>
          <w:sz w:val="24"/>
        </w:rPr>
        <w:t>jen</w:t>
      </w:r>
      <w:r>
        <w:rPr>
          <w:spacing w:val="51"/>
          <w:sz w:val="24"/>
        </w:rPr>
        <w:t xml:space="preserve"> </w:t>
      </w:r>
      <w:r>
        <w:rPr>
          <w:sz w:val="24"/>
        </w:rPr>
        <w:t>zákon</w:t>
      </w:r>
      <w:r>
        <w:rPr>
          <w:spacing w:val="51"/>
          <w:sz w:val="24"/>
        </w:rPr>
        <w:t xml:space="preserve"> </w:t>
      </w:r>
      <w:r>
        <w:rPr>
          <w:sz w:val="24"/>
        </w:rPr>
        <w:t>o</w:t>
      </w:r>
      <w:r>
        <w:rPr>
          <w:spacing w:val="51"/>
          <w:sz w:val="24"/>
        </w:rPr>
        <w:t xml:space="preserve"> </w:t>
      </w:r>
      <w:r>
        <w:rPr>
          <w:sz w:val="24"/>
        </w:rPr>
        <w:t>hazardních</w:t>
      </w:r>
      <w:r>
        <w:rPr>
          <w:spacing w:val="51"/>
          <w:sz w:val="24"/>
        </w:rPr>
        <w:t xml:space="preserve"> </w:t>
      </w:r>
      <w:r>
        <w:rPr>
          <w:sz w:val="24"/>
        </w:rPr>
        <w:t>hrách“),</w:t>
      </w:r>
      <w:r>
        <w:rPr>
          <w:spacing w:val="53"/>
          <w:sz w:val="24"/>
        </w:rPr>
        <w:t xml:space="preserve"> </w:t>
      </w:r>
      <w:r>
        <w:rPr>
          <w:sz w:val="24"/>
        </w:rPr>
        <w:t>tuto</w:t>
      </w:r>
      <w:r>
        <w:rPr>
          <w:spacing w:val="51"/>
          <w:sz w:val="24"/>
        </w:rPr>
        <w:t xml:space="preserve"> </w:t>
      </w:r>
      <w:r>
        <w:rPr>
          <w:sz w:val="24"/>
        </w:rPr>
        <w:t>obecně</w:t>
      </w:r>
      <w:r>
        <w:rPr>
          <w:spacing w:val="50"/>
          <w:sz w:val="24"/>
        </w:rPr>
        <w:t xml:space="preserve"> </w:t>
      </w:r>
      <w:r>
        <w:rPr>
          <w:sz w:val="24"/>
        </w:rPr>
        <w:t>závaznou</w:t>
      </w:r>
      <w:r>
        <w:rPr>
          <w:spacing w:val="51"/>
          <w:sz w:val="24"/>
        </w:rPr>
        <w:t xml:space="preserve"> </w:t>
      </w:r>
      <w:r>
        <w:rPr>
          <w:sz w:val="24"/>
        </w:rPr>
        <w:t>vyhlášku</w:t>
      </w:r>
      <w:r>
        <w:rPr>
          <w:spacing w:val="51"/>
          <w:sz w:val="24"/>
        </w:rPr>
        <w:t xml:space="preserve"> </w:t>
      </w:r>
      <w:r>
        <w:rPr>
          <w:sz w:val="24"/>
        </w:rPr>
        <w:t>(dále</w:t>
      </w:r>
      <w:r>
        <w:rPr>
          <w:spacing w:val="52"/>
          <w:sz w:val="24"/>
        </w:rPr>
        <w:t xml:space="preserve"> </w:t>
      </w:r>
      <w:r>
        <w:rPr>
          <w:spacing w:val="-5"/>
          <w:sz w:val="24"/>
        </w:rPr>
        <w:t>jen</w:t>
      </w:r>
    </w:p>
    <w:p w:rsidR="00EC1129" w:rsidRDefault="007A2A85">
      <w:pPr>
        <w:pStyle w:val="Zkladntext"/>
        <w:spacing w:before="0"/>
        <w:ind w:left="116" w:firstLine="0"/>
      </w:pPr>
      <w:r>
        <w:rPr>
          <w:spacing w:val="-2"/>
        </w:rPr>
        <w:t>„vyhláška“):</w:t>
      </w:r>
    </w:p>
    <w:p w:rsidR="00EC1129" w:rsidRDefault="00EC1129">
      <w:pPr>
        <w:pStyle w:val="Zkladntext"/>
        <w:spacing w:before="206"/>
        <w:ind w:left="0" w:firstLine="0"/>
      </w:pPr>
    </w:p>
    <w:p w:rsidR="00EC1129" w:rsidRDefault="007A2A85">
      <w:pPr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1</w:t>
      </w:r>
    </w:p>
    <w:p w:rsidR="00EC1129" w:rsidRDefault="007A2A85">
      <w:pPr>
        <w:spacing w:before="164"/>
        <w:jc w:val="center"/>
        <w:rPr>
          <w:b/>
          <w:sz w:val="24"/>
        </w:rPr>
      </w:pPr>
      <w:r>
        <w:rPr>
          <w:b/>
          <w:sz w:val="24"/>
        </w:rPr>
        <w:t xml:space="preserve">Cíl </w:t>
      </w:r>
      <w:r>
        <w:rPr>
          <w:b/>
          <w:spacing w:val="-2"/>
          <w:sz w:val="24"/>
        </w:rPr>
        <w:t>vyhlášky</w:t>
      </w:r>
    </w:p>
    <w:p w:rsidR="00EC1129" w:rsidRDefault="00EC1129">
      <w:pPr>
        <w:pStyle w:val="Zkladntext"/>
        <w:spacing w:before="196"/>
        <w:ind w:left="0" w:firstLine="0"/>
        <w:rPr>
          <w:b/>
        </w:rPr>
      </w:pPr>
    </w:p>
    <w:p w:rsidR="00EC1129" w:rsidRDefault="007A2A85">
      <w:pPr>
        <w:pStyle w:val="Odstavecseseznamem"/>
        <w:numPr>
          <w:ilvl w:val="1"/>
          <w:numId w:val="6"/>
        </w:numPr>
        <w:tabs>
          <w:tab w:val="left" w:pos="543"/>
        </w:tabs>
        <w:spacing w:before="1" w:line="276" w:lineRule="auto"/>
        <w:ind w:right="112"/>
        <w:jc w:val="both"/>
        <w:rPr>
          <w:sz w:val="24"/>
        </w:rPr>
      </w:pPr>
      <w:r>
        <w:rPr>
          <w:sz w:val="24"/>
        </w:rPr>
        <w:t>Cílem této vyhlášky je omezení společenských rizik vyplývajících z provozování hazardních her, které mají negativní vliv na hráče hazardních her, zejména mladistvé a osoby sociálně vyloučené, a které vytvářejí tzv. předpolí činností rozporných s veřejným pořádkem a dobrými mravy (např. lichva, krádeže, loupeže, rozvrat rodin).</w:t>
      </w:r>
    </w:p>
    <w:p w:rsidR="00EC1129" w:rsidRDefault="007A2A85">
      <w:pPr>
        <w:pStyle w:val="Odstavecseseznamem"/>
        <w:numPr>
          <w:ilvl w:val="1"/>
          <w:numId w:val="6"/>
        </w:numPr>
        <w:tabs>
          <w:tab w:val="left" w:pos="543"/>
        </w:tabs>
        <w:spacing w:before="0" w:line="276" w:lineRule="auto"/>
        <w:ind w:right="119"/>
        <w:jc w:val="both"/>
        <w:rPr>
          <w:sz w:val="24"/>
        </w:rPr>
      </w:pPr>
      <w:r>
        <w:rPr>
          <w:sz w:val="24"/>
        </w:rPr>
        <w:t>Omezení</w:t>
      </w:r>
      <w:r>
        <w:rPr>
          <w:spacing w:val="-4"/>
          <w:sz w:val="24"/>
        </w:rPr>
        <w:t xml:space="preserve"> </w:t>
      </w:r>
      <w:r>
        <w:rPr>
          <w:sz w:val="24"/>
        </w:rPr>
        <w:t>provozování</w:t>
      </w:r>
      <w:r>
        <w:rPr>
          <w:spacing w:val="-4"/>
          <w:sz w:val="24"/>
        </w:rPr>
        <w:t xml:space="preserve"> </w:t>
      </w:r>
      <w:r>
        <w:rPr>
          <w:sz w:val="24"/>
        </w:rPr>
        <w:t>hazardních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rozsahu</w:t>
      </w:r>
      <w:r>
        <w:rPr>
          <w:spacing w:val="-4"/>
          <w:sz w:val="24"/>
        </w:rPr>
        <w:t xml:space="preserve"> </w:t>
      </w:r>
      <w:r>
        <w:rPr>
          <w:sz w:val="24"/>
        </w:rPr>
        <w:t>navrhovaném</w:t>
      </w:r>
      <w:r>
        <w:rPr>
          <w:spacing w:val="-2"/>
          <w:sz w:val="24"/>
        </w:rPr>
        <w:t xml:space="preserve"> </w:t>
      </w:r>
      <w:r>
        <w:rPr>
          <w:sz w:val="24"/>
        </w:rPr>
        <w:t>vyhláškou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předkládáno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 cílem zcela odstranit herny s herními automaty při zachování možnosti provozování ostatních hazardních her v kasinech, u níž je riziko návazných negativních jevů </w:t>
      </w:r>
      <w:r>
        <w:rPr>
          <w:spacing w:val="-2"/>
          <w:sz w:val="24"/>
        </w:rPr>
        <w:t>minimalizováno.</w:t>
      </w:r>
    </w:p>
    <w:p w:rsidR="00EC1129" w:rsidRDefault="00EC1129">
      <w:pPr>
        <w:pStyle w:val="Zkladntext"/>
        <w:spacing w:before="166"/>
        <w:ind w:left="0" w:firstLine="0"/>
      </w:pPr>
    </w:p>
    <w:p w:rsidR="00EC1129" w:rsidRDefault="007A2A85">
      <w:pPr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2</w:t>
      </w:r>
    </w:p>
    <w:p w:rsidR="00EC1129" w:rsidRDefault="007A2A85">
      <w:pPr>
        <w:spacing w:before="163"/>
        <w:ind w:left="3729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vyhlášky</w:t>
      </w:r>
    </w:p>
    <w:p w:rsidR="00EC1129" w:rsidRDefault="007A2A85">
      <w:pPr>
        <w:pStyle w:val="Zkladntext"/>
        <w:spacing w:before="156" w:line="276" w:lineRule="auto"/>
        <w:ind w:left="116" w:firstLine="0"/>
      </w:pPr>
      <w:r>
        <w:t>Předmětem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vyhlášky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vymezení</w:t>
      </w:r>
      <w:r>
        <w:rPr>
          <w:spacing w:val="-3"/>
        </w:rPr>
        <w:t xml:space="preserve"> </w:t>
      </w:r>
      <w:r>
        <w:t>podmínek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hazardních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 hazardních hrách na území statutárního města Ústí nad Labem.</w:t>
      </w:r>
    </w:p>
    <w:p w:rsidR="00EC1129" w:rsidRDefault="00EC1129">
      <w:pPr>
        <w:pStyle w:val="Zkladntext"/>
        <w:spacing w:before="167"/>
        <w:ind w:left="0" w:firstLine="0"/>
      </w:pPr>
    </w:p>
    <w:p w:rsidR="00EC1129" w:rsidRDefault="007A2A85">
      <w:pPr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3</w:t>
      </w:r>
    </w:p>
    <w:p w:rsidR="00EC1129" w:rsidRDefault="007A2A85">
      <w:pPr>
        <w:spacing w:before="161"/>
        <w:ind w:left="2709"/>
        <w:rPr>
          <w:b/>
          <w:sz w:val="24"/>
        </w:rPr>
      </w:pPr>
      <w:r>
        <w:rPr>
          <w:b/>
          <w:sz w:val="24"/>
        </w:rPr>
        <w:t>Regulace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provozování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hazardních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her</w:t>
      </w:r>
    </w:p>
    <w:p w:rsidR="00EC1129" w:rsidRDefault="007A2A85">
      <w:pPr>
        <w:pStyle w:val="Zkladntext"/>
        <w:spacing w:before="156" w:line="276" w:lineRule="auto"/>
        <w:ind w:left="116" w:firstLine="0"/>
      </w:pPr>
      <w:r>
        <w:t>Provozování</w:t>
      </w:r>
      <w:r>
        <w:rPr>
          <w:spacing w:val="-2"/>
        </w:rPr>
        <w:t xml:space="preserve"> </w:t>
      </w:r>
      <w:r>
        <w:t>technické</w:t>
      </w:r>
      <w:r>
        <w:rPr>
          <w:spacing w:val="-4"/>
        </w:rPr>
        <w:t xml:space="preserve"> </w:t>
      </w:r>
      <w:r>
        <w:t>hry</w:t>
      </w:r>
      <w:r>
        <w:rPr>
          <w:spacing w:val="-5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§ 3 odst.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o hazardních</w:t>
      </w:r>
      <w:r>
        <w:rPr>
          <w:spacing w:val="-2"/>
        </w:rPr>
        <w:t xml:space="preserve"> </w:t>
      </w:r>
      <w:r>
        <w:t>hrách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 celém území statutárního města Ústí nad Labem zakázáno.</w:t>
      </w:r>
    </w:p>
    <w:p w:rsidR="00EC1129" w:rsidRDefault="00EC1129">
      <w:pPr>
        <w:spacing w:line="276" w:lineRule="auto"/>
        <w:sectPr w:rsidR="00EC1129" w:rsidSect="00020FDC">
          <w:type w:val="continuous"/>
          <w:pgSz w:w="11910" w:h="16840"/>
          <w:pgMar w:top="660" w:right="1300" w:bottom="280" w:left="1300" w:header="708" w:footer="708" w:gutter="0"/>
          <w:cols w:space="708"/>
        </w:sectPr>
      </w:pP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262"/>
        <w:ind w:left="0" w:firstLine="0"/>
      </w:pPr>
    </w:p>
    <w:p w:rsidR="00EC1129" w:rsidRDefault="007A2A85">
      <w:pPr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4</w:t>
      </w:r>
    </w:p>
    <w:p w:rsidR="00EC1129" w:rsidRDefault="007A2A85">
      <w:pPr>
        <w:spacing w:before="161"/>
        <w:jc w:val="center"/>
        <w:rPr>
          <w:b/>
          <w:sz w:val="24"/>
        </w:rPr>
      </w:pPr>
      <w:r>
        <w:rPr>
          <w:b/>
          <w:sz w:val="24"/>
        </w:rPr>
        <w:t>Přechodné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:rsidR="00EC1129" w:rsidRDefault="00EC1129">
      <w:pPr>
        <w:pStyle w:val="Zkladntext"/>
        <w:spacing w:before="199"/>
        <w:ind w:left="0" w:firstLine="0"/>
        <w:rPr>
          <w:b/>
        </w:rPr>
      </w:pPr>
    </w:p>
    <w:p w:rsidR="00EC1129" w:rsidRDefault="007A2A85">
      <w:pPr>
        <w:pStyle w:val="Zkladntext"/>
        <w:spacing w:before="0" w:line="276" w:lineRule="auto"/>
        <w:ind w:left="116" w:right="116" w:firstLine="0"/>
        <w:jc w:val="both"/>
      </w:pPr>
      <w:r>
        <w:t>Technickou</w:t>
      </w:r>
      <w:r>
        <w:rPr>
          <w:spacing w:val="-8"/>
        </w:rPr>
        <w:t xml:space="preserve"> </w:t>
      </w:r>
      <w:r>
        <w:t>hru</w:t>
      </w:r>
      <w:r>
        <w:rPr>
          <w:spacing w:val="-8"/>
        </w:rPr>
        <w:t xml:space="preserve"> </w:t>
      </w:r>
      <w:r>
        <w:t>povolenou</w:t>
      </w:r>
      <w:r>
        <w:rPr>
          <w:spacing w:val="-7"/>
        </w:rPr>
        <w:t xml:space="preserve"> </w:t>
      </w:r>
      <w:r>
        <w:t>přede</w:t>
      </w:r>
      <w:r>
        <w:rPr>
          <w:spacing w:val="-8"/>
        </w:rPr>
        <w:t xml:space="preserve"> </w:t>
      </w:r>
      <w:r>
        <w:t>dnem</w:t>
      </w:r>
      <w:r>
        <w:rPr>
          <w:spacing w:val="-7"/>
        </w:rPr>
        <w:t xml:space="preserve"> </w:t>
      </w:r>
      <w:r>
        <w:t>nabytí</w:t>
      </w:r>
      <w:r>
        <w:rPr>
          <w:spacing w:val="-7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vyhlášky</w:t>
      </w:r>
      <w:r>
        <w:rPr>
          <w:spacing w:val="-12"/>
        </w:rPr>
        <w:t xml:space="preserve"> </w:t>
      </w:r>
      <w:r>
        <w:t>lze</w:t>
      </w:r>
      <w:r>
        <w:rPr>
          <w:spacing w:val="-8"/>
        </w:rPr>
        <w:t xml:space="preserve"> </w:t>
      </w:r>
      <w:r>
        <w:t>provozovat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území statutárního města Ústí nad Labem nejdéle do doby platnosti vydaného povolení, a to na místech</w:t>
      </w:r>
      <w:r>
        <w:rPr>
          <w:spacing w:val="-3"/>
        </w:rPr>
        <w:t xml:space="preserve"> </w:t>
      </w:r>
      <w:r>
        <w:t>uvedených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obecně</w:t>
      </w:r>
      <w:r>
        <w:rPr>
          <w:spacing w:val="-2"/>
        </w:rPr>
        <w:t xml:space="preserve"> </w:t>
      </w:r>
      <w:r>
        <w:t>závazné</w:t>
      </w:r>
      <w:r>
        <w:rPr>
          <w:spacing w:val="-2"/>
        </w:rPr>
        <w:t xml:space="preserve"> </w:t>
      </w:r>
      <w:r>
        <w:t>vyhlášky</w:t>
      </w:r>
      <w:r>
        <w:rPr>
          <w:spacing w:val="-5"/>
        </w:rPr>
        <w:t xml:space="preserve"> </w:t>
      </w:r>
      <w:r>
        <w:t>statutárního</w:t>
      </w:r>
      <w:r>
        <w:rPr>
          <w:spacing w:val="-3"/>
        </w:rPr>
        <w:t xml:space="preserve"> </w:t>
      </w:r>
      <w:r>
        <w:t>města</w:t>
      </w:r>
      <w:r>
        <w:rPr>
          <w:spacing w:val="-3"/>
        </w:rPr>
        <w:t xml:space="preserve"> </w:t>
      </w:r>
      <w:r>
        <w:t>Ústí</w:t>
      </w:r>
      <w:r>
        <w:rPr>
          <w:spacing w:val="-2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Labem č. 6/2011, o regulaci provozování sázkových her, loterií a jiných podobných her.</w:t>
      </w:r>
    </w:p>
    <w:p w:rsidR="00EC1129" w:rsidRDefault="00EC1129">
      <w:pPr>
        <w:pStyle w:val="Zkladntext"/>
        <w:spacing w:before="165"/>
        <w:ind w:left="0" w:firstLine="0"/>
      </w:pPr>
    </w:p>
    <w:p w:rsidR="00EC1129" w:rsidRDefault="007A2A85">
      <w:pPr>
        <w:spacing w:before="1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5</w:t>
      </w:r>
    </w:p>
    <w:p w:rsidR="00EC1129" w:rsidRDefault="007A2A85">
      <w:pPr>
        <w:spacing w:before="160"/>
        <w:ind w:left="3556"/>
        <w:rPr>
          <w:b/>
          <w:sz w:val="24"/>
        </w:rPr>
      </w:pPr>
      <w:r>
        <w:rPr>
          <w:b/>
          <w:sz w:val="24"/>
        </w:rPr>
        <w:t>Zrušovací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:rsidR="00EC1129" w:rsidRDefault="007A2A85">
      <w:pPr>
        <w:pStyle w:val="Odstavecseseznamem"/>
        <w:numPr>
          <w:ilvl w:val="0"/>
          <w:numId w:val="5"/>
        </w:numPr>
        <w:tabs>
          <w:tab w:val="left" w:pos="399"/>
        </w:tabs>
        <w:spacing w:before="157" w:line="278" w:lineRule="auto"/>
        <w:ind w:right="117"/>
        <w:rPr>
          <w:sz w:val="24"/>
        </w:rPr>
      </w:pPr>
      <w:r>
        <w:rPr>
          <w:sz w:val="24"/>
        </w:rPr>
        <w:t>Dnem</w:t>
      </w:r>
      <w:r>
        <w:rPr>
          <w:spacing w:val="40"/>
          <w:sz w:val="24"/>
        </w:rPr>
        <w:t xml:space="preserve"> </w:t>
      </w:r>
      <w:r>
        <w:rPr>
          <w:sz w:val="24"/>
        </w:rPr>
        <w:t>nabytí</w:t>
      </w:r>
      <w:r>
        <w:rPr>
          <w:spacing w:val="40"/>
          <w:sz w:val="24"/>
        </w:rPr>
        <w:t xml:space="preserve"> </w:t>
      </w:r>
      <w:r>
        <w:rPr>
          <w:sz w:val="24"/>
        </w:rPr>
        <w:t>účinnosti</w:t>
      </w:r>
      <w:r>
        <w:rPr>
          <w:spacing w:val="40"/>
          <w:sz w:val="24"/>
        </w:rPr>
        <w:t xml:space="preserve"> </w:t>
      </w:r>
      <w:r>
        <w:rPr>
          <w:sz w:val="24"/>
        </w:rPr>
        <w:t>této</w:t>
      </w:r>
      <w:r>
        <w:rPr>
          <w:spacing w:val="40"/>
          <w:sz w:val="24"/>
        </w:rPr>
        <w:t xml:space="preserve"> </w:t>
      </w:r>
      <w:r>
        <w:rPr>
          <w:sz w:val="24"/>
        </w:rPr>
        <w:t>vyhlášky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zrušuje</w:t>
      </w:r>
      <w:r>
        <w:rPr>
          <w:spacing w:val="40"/>
          <w:sz w:val="24"/>
        </w:rPr>
        <w:t xml:space="preserve"> </w:t>
      </w:r>
      <w:r>
        <w:rPr>
          <w:sz w:val="24"/>
        </w:rPr>
        <w:t>obecně</w:t>
      </w:r>
      <w:r>
        <w:rPr>
          <w:spacing w:val="40"/>
          <w:sz w:val="24"/>
        </w:rPr>
        <w:t xml:space="preserve"> </w:t>
      </w:r>
      <w:r>
        <w:rPr>
          <w:sz w:val="24"/>
        </w:rPr>
        <w:t>závazná</w:t>
      </w:r>
      <w:r>
        <w:rPr>
          <w:spacing w:val="40"/>
          <w:sz w:val="24"/>
        </w:rPr>
        <w:t xml:space="preserve"> </w:t>
      </w:r>
      <w:r>
        <w:rPr>
          <w:sz w:val="24"/>
        </w:rPr>
        <w:t>vyhláška</w:t>
      </w:r>
      <w:r>
        <w:rPr>
          <w:spacing w:val="40"/>
          <w:sz w:val="24"/>
        </w:rPr>
        <w:t xml:space="preserve"> </w:t>
      </w:r>
      <w:r>
        <w:rPr>
          <w:sz w:val="24"/>
        </w:rPr>
        <w:t>č.</w:t>
      </w:r>
      <w:r>
        <w:rPr>
          <w:spacing w:val="40"/>
          <w:sz w:val="24"/>
        </w:rPr>
        <w:t xml:space="preserve"> </w:t>
      </w:r>
      <w:r>
        <w:rPr>
          <w:sz w:val="24"/>
        </w:rPr>
        <w:t>6/2011,</w:t>
      </w:r>
      <w:r>
        <w:rPr>
          <w:spacing w:val="40"/>
          <w:sz w:val="24"/>
        </w:rPr>
        <w:t xml:space="preserve"> </w:t>
      </w:r>
      <w:r>
        <w:rPr>
          <w:sz w:val="24"/>
        </w:rPr>
        <w:t>o regulaci provozování sázkových her, loterií a jiných podobných her, ze dne 15. 12. 2011.</w:t>
      </w:r>
    </w:p>
    <w:p w:rsidR="00EC1129" w:rsidRDefault="007A2A85">
      <w:pPr>
        <w:pStyle w:val="Odstavecseseznamem"/>
        <w:numPr>
          <w:ilvl w:val="0"/>
          <w:numId w:val="5"/>
        </w:numPr>
        <w:tabs>
          <w:tab w:val="left" w:pos="399"/>
        </w:tabs>
        <w:spacing w:before="0" w:line="272" w:lineRule="exact"/>
        <w:ind w:hanging="283"/>
        <w:rPr>
          <w:sz w:val="24"/>
        </w:rPr>
      </w:pPr>
      <w:r>
        <w:rPr>
          <w:sz w:val="24"/>
        </w:rPr>
        <w:t>Ustanovení</w:t>
      </w:r>
      <w:r>
        <w:rPr>
          <w:spacing w:val="-1"/>
          <w:sz w:val="24"/>
        </w:rPr>
        <w:t xml:space="preserve"> </w:t>
      </w:r>
      <w:r>
        <w:rPr>
          <w:sz w:val="24"/>
        </w:rPr>
        <w:t>čl. 4</w:t>
      </w:r>
      <w:r>
        <w:rPr>
          <w:spacing w:val="-1"/>
          <w:sz w:val="24"/>
        </w:rPr>
        <w:t xml:space="preserve"> </w:t>
      </w:r>
      <w:r>
        <w:rPr>
          <w:sz w:val="24"/>
        </w:rPr>
        <w:t>této vyhlášky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tímto zrušením není </w:t>
      </w:r>
      <w:r>
        <w:rPr>
          <w:spacing w:val="-2"/>
          <w:sz w:val="24"/>
        </w:rPr>
        <w:t>dotčeno.</w:t>
      </w:r>
    </w:p>
    <w:p w:rsidR="00EC1129" w:rsidRDefault="00EC1129">
      <w:pPr>
        <w:pStyle w:val="Zkladntext"/>
        <w:spacing w:before="206"/>
        <w:ind w:left="0" w:firstLine="0"/>
      </w:pPr>
    </w:p>
    <w:p w:rsidR="00EC1129" w:rsidRDefault="007A2A85">
      <w:pPr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6</w:t>
      </w:r>
    </w:p>
    <w:p w:rsidR="00EC1129" w:rsidRDefault="007A2A85">
      <w:pPr>
        <w:spacing w:before="164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 w:rsidR="00EC1129" w:rsidRDefault="007A2A85">
      <w:pPr>
        <w:pStyle w:val="Zkladntext"/>
        <w:spacing w:before="156"/>
        <w:ind w:left="116" w:firstLine="0"/>
        <w:jc w:val="both"/>
      </w:pPr>
      <w:r>
        <w:t>Tato</w:t>
      </w:r>
      <w:r>
        <w:rPr>
          <w:spacing w:val="-4"/>
        </w:rPr>
        <w:t xml:space="preserve"> </w:t>
      </w:r>
      <w:r>
        <w:t>vyhláška</w:t>
      </w:r>
      <w:r>
        <w:rPr>
          <w:spacing w:val="-3"/>
        </w:rPr>
        <w:t xml:space="preserve"> </w:t>
      </w:r>
      <w:r>
        <w:t>nabývá</w:t>
      </w:r>
      <w:r>
        <w:rPr>
          <w:spacing w:val="-1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patnáctým</w:t>
      </w:r>
      <w:r>
        <w:rPr>
          <w:spacing w:val="-2"/>
        </w:rPr>
        <w:t xml:space="preserve"> </w:t>
      </w:r>
      <w:r>
        <w:t>dnem</w:t>
      </w:r>
      <w:r>
        <w:rPr>
          <w:spacing w:val="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rPr>
          <w:spacing w:val="-2"/>
        </w:rPr>
        <w:t>vyhlášení.</w:t>
      </w:r>
    </w:p>
    <w:p w:rsidR="00EC1129" w:rsidRDefault="00EC1129">
      <w:pPr>
        <w:pStyle w:val="Zkladntext"/>
        <w:spacing w:before="0"/>
        <w:ind w:left="0" w:firstLine="0"/>
        <w:rPr>
          <w:sz w:val="20"/>
        </w:rPr>
      </w:pPr>
    </w:p>
    <w:p w:rsidR="00EC1129" w:rsidRDefault="00EC1129">
      <w:pPr>
        <w:pStyle w:val="Zkladntext"/>
        <w:spacing w:before="0"/>
        <w:ind w:left="0" w:firstLine="0"/>
        <w:rPr>
          <w:sz w:val="20"/>
        </w:rPr>
      </w:pPr>
    </w:p>
    <w:p w:rsidR="00EC1129" w:rsidRDefault="00EC1129">
      <w:pPr>
        <w:pStyle w:val="Zkladntext"/>
        <w:spacing w:before="0"/>
        <w:ind w:left="0" w:firstLine="0"/>
        <w:rPr>
          <w:sz w:val="20"/>
        </w:rPr>
      </w:pPr>
    </w:p>
    <w:p w:rsidR="00EC1129" w:rsidRDefault="00EC1129">
      <w:pPr>
        <w:pStyle w:val="Zkladntext"/>
        <w:spacing w:before="0"/>
        <w:ind w:left="0" w:firstLine="0"/>
        <w:rPr>
          <w:sz w:val="20"/>
        </w:rPr>
      </w:pPr>
    </w:p>
    <w:p w:rsidR="00EC1129" w:rsidRDefault="00EC1129">
      <w:pPr>
        <w:pStyle w:val="Zkladntext"/>
        <w:spacing w:before="0"/>
        <w:ind w:left="0" w:firstLine="0"/>
        <w:rPr>
          <w:sz w:val="20"/>
        </w:rPr>
      </w:pPr>
    </w:p>
    <w:p w:rsidR="00EC1129" w:rsidRDefault="00EC1129">
      <w:pPr>
        <w:pStyle w:val="Zkladntext"/>
        <w:spacing w:before="0"/>
        <w:ind w:left="0" w:firstLine="0"/>
        <w:rPr>
          <w:sz w:val="20"/>
        </w:rPr>
      </w:pPr>
    </w:p>
    <w:p w:rsidR="00EC1129" w:rsidRDefault="00EC1129">
      <w:pPr>
        <w:pStyle w:val="Zkladntext"/>
        <w:spacing w:before="0"/>
        <w:ind w:left="0" w:firstLine="0"/>
        <w:rPr>
          <w:sz w:val="20"/>
        </w:rPr>
      </w:pPr>
    </w:p>
    <w:p w:rsidR="00EC1129" w:rsidRDefault="00EC1129">
      <w:pPr>
        <w:pStyle w:val="Zkladntext"/>
        <w:spacing w:before="0"/>
        <w:ind w:left="0" w:firstLine="0"/>
        <w:rPr>
          <w:sz w:val="20"/>
        </w:rPr>
      </w:pPr>
    </w:p>
    <w:p w:rsidR="00EC1129" w:rsidRDefault="00EC1129">
      <w:pPr>
        <w:pStyle w:val="Zkladntext"/>
        <w:spacing w:before="110"/>
        <w:ind w:left="0" w:firstLine="0"/>
        <w:rPr>
          <w:sz w:val="20"/>
        </w:rPr>
      </w:pPr>
    </w:p>
    <w:tbl>
      <w:tblPr>
        <w:tblStyle w:val="TableNormal"/>
        <w:tblW w:w="0" w:type="auto"/>
        <w:tblInd w:w="870" w:type="dxa"/>
        <w:tblLayout w:type="fixed"/>
        <w:tblLook w:val="01E0" w:firstRow="1" w:lastRow="1" w:firstColumn="1" w:lastColumn="1" w:noHBand="0" w:noVBand="0"/>
      </w:tblPr>
      <w:tblGrid>
        <w:gridCol w:w="3789"/>
        <w:gridCol w:w="3789"/>
      </w:tblGrid>
      <w:tr w:rsidR="00EC1129">
        <w:trPr>
          <w:trHeight w:val="392"/>
        </w:trPr>
        <w:tc>
          <w:tcPr>
            <w:tcW w:w="3789" w:type="dxa"/>
          </w:tcPr>
          <w:p w:rsidR="00EC1129" w:rsidRDefault="007A2A8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……………………………….</w:t>
            </w:r>
          </w:p>
        </w:tc>
        <w:tc>
          <w:tcPr>
            <w:tcW w:w="3789" w:type="dxa"/>
          </w:tcPr>
          <w:p w:rsidR="00EC1129" w:rsidRDefault="007A2A85">
            <w:pPr>
              <w:pStyle w:val="TableParagraph"/>
              <w:spacing w:line="266" w:lineRule="exact"/>
              <w:ind w:left="79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……………………………….</w:t>
            </w:r>
          </w:p>
        </w:tc>
      </w:tr>
      <w:tr w:rsidR="00EC1129">
        <w:trPr>
          <w:trHeight w:val="908"/>
        </w:trPr>
        <w:tc>
          <w:tcPr>
            <w:tcW w:w="3789" w:type="dxa"/>
          </w:tcPr>
          <w:p w:rsidR="00EC1129" w:rsidRDefault="007A2A85">
            <w:pPr>
              <w:pStyle w:val="TableParagraph"/>
              <w:spacing w:before="116"/>
              <w:ind w:left="818"/>
              <w:rPr>
                <w:sz w:val="24"/>
              </w:rPr>
            </w:pPr>
            <w:r>
              <w:rPr>
                <w:sz w:val="24"/>
              </w:rPr>
              <w:t>Ing.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</w:t>
            </w:r>
            <w:r>
              <w:rPr>
                <w:spacing w:val="-2"/>
                <w:sz w:val="24"/>
              </w:rPr>
              <w:t xml:space="preserve"> Outlá</w:t>
            </w:r>
          </w:p>
          <w:p w:rsidR="00EC1129" w:rsidRDefault="007A2A85">
            <w:pPr>
              <w:pStyle w:val="TableParagraph"/>
              <w:spacing w:before="240" w:line="256" w:lineRule="exact"/>
              <w:ind w:left="33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náměstkyně</w:t>
            </w:r>
            <w:r>
              <w:rPr>
                <w:spacing w:val="-2"/>
                <w:sz w:val="24"/>
              </w:rPr>
              <w:t xml:space="preserve"> primátora</w:t>
            </w:r>
          </w:p>
        </w:tc>
        <w:tc>
          <w:tcPr>
            <w:tcW w:w="3789" w:type="dxa"/>
          </w:tcPr>
          <w:p w:rsidR="00EC1129" w:rsidRDefault="007A2A85">
            <w:pPr>
              <w:pStyle w:val="TableParagraph"/>
              <w:spacing w:before="116"/>
              <w:jc w:val="center"/>
              <w:rPr>
                <w:sz w:val="24"/>
              </w:rPr>
            </w:pPr>
            <w:r>
              <w:rPr>
                <w:sz w:val="24"/>
              </w:rPr>
              <w:t>PhDr.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Petr</w:t>
            </w:r>
            <w:r>
              <w:rPr>
                <w:spacing w:val="-2"/>
                <w:sz w:val="24"/>
              </w:rPr>
              <w:t xml:space="preserve"> Nedvědický</w:t>
            </w:r>
          </w:p>
          <w:p w:rsidR="00EC1129" w:rsidRDefault="007A2A85">
            <w:pPr>
              <w:pStyle w:val="TableParagraph"/>
              <w:spacing w:before="240"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primátor</w:t>
            </w:r>
          </w:p>
        </w:tc>
      </w:tr>
    </w:tbl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0"/>
        <w:ind w:left="0" w:firstLine="0"/>
      </w:pPr>
    </w:p>
    <w:p w:rsidR="00EC1129" w:rsidRDefault="00EC1129">
      <w:pPr>
        <w:pStyle w:val="Zkladntext"/>
        <w:spacing w:before="209"/>
        <w:ind w:left="0" w:firstLine="0"/>
      </w:pPr>
    </w:p>
    <w:p w:rsidR="00EC1129" w:rsidRDefault="007A2A85">
      <w:pPr>
        <w:pStyle w:val="Zkladntext"/>
        <w:tabs>
          <w:tab w:val="right" w:pos="4856"/>
        </w:tabs>
        <w:spacing w:before="0"/>
        <w:ind w:left="116" w:firstLine="0"/>
      </w:pPr>
      <w:r>
        <w:t>Vyvěšeno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úřední</w:t>
      </w:r>
      <w:r>
        <w:rPr>
          <w:spacing w:val="-1"/>
        </w:rPr>
        <w:t xml:space="preserve"> </w:t>
      </w:r>
      <w:r>
        <w:t>desce</w:t>
      </w:r>
      <w:r>
        <w:rPr>
          <w:spacing w:val="-2"/>
        </w:rPr>
        <w:t xml:space="preserve"> </w:t>
      </w:r>
      <w:r>
        <w:rPr>
          <w:spacing w:val="-4"/>
        </w:rPr>
        <w:t>dne:</w:t>
      </w:r>
      <w:r>
        <w:tab/>
      </w:r>
      <w:r>
        <w:rPr>
          <w:spacing w:val="-5"/>
        </w:rPr>
        <w:t xml:space="preserve">25. </w:t>
      </w:r>
      <w:r>
        <w:t>05. 2021</w:t>
      </w:r>
    </w:p>
    <w:p w:rsidR="00EC1129" w:rsidRDefault="007A2A85" w:rsidP="0014590E">
      <w:pPr>
        <w:pStyle w:val="Zkladntext"/>
        <w:tabs>
          <w:tab w:val="right" w:pos="4856"/>
        </w:tabs>
        <w:spacing w:before="240"/>
        <w:ind w:left="116" w:firstLine="0"/>
      </w:pPr>
      <w:r>
        <w:t>Sejmuto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úřední desky</w:t>
      </w:r>
      <w:r>
        <w:rPr>
          <w:spacing w:val="-5"/>
        </w:rPr>
        <w:t xml:space="preserve"> </w:t>
      </w:r>
      <w:r>
        <w:rPr>
          <w:spacing w:val="-4"/>
        </w:rPr>
        <w:t>dne:</w:t>
      </w:r>
      <w:r>
        <w:tab/>
      </w:r>
      <w:r>
        <w:rPr>
          <w:spacing w:val="-5"/>
        </w:rPr>
        <w:t xml:space="preserve">11. </w:t>
      </w:r>
      <w:r w:rsidR="00A454E8">
        <w:t>06. 2021</w:t>
      </w:r>
    </w:p>
    <w:p w:rsidR="0014590E" w:rsidRDefault="0014590E" w:rsidP="0014590E">
      <w:pPr>
        <w:pStyle w:val="Zkladntext"/>
        <w:tabs>
          <w:tab w:val="right" w:pos="4856"/>
        </w:tabs>
        <w:spacing w:before="240"/>
        <w:ind w:left="116" w:firstLine="0"/>
      </w:pPr>
      <w:bookmarkStart w:id="0" w:name="_GoBack"/>
      <w:bookmarkEnd w:id="0"/>
    </w:p>
    <w:sectPr w:rsidR="0014590E" w:rsidSect="00020FDC">
      <w:pgSz w:w="11910" w:h="16840"/>
      <w:pgMar w:top="6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464ED"/>
    <w:multiLevelType w:val="hybridMultilevel"/>
    <w:tmpl w:val="2A24F0BC"/>
    <w:lvl w:ilvl="0" w:tplc="FC3AE1B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FC494E0">
      <w:numFmt w:val="bullet"/>
      <w:lvlText w:val="•"/>
      <w:lvlJc w:val="left"/>
      <w:pPr>
        <w:ind w:left="1254" w:hanging="240"/>
      </w:pPr>
      <w:rPr>
        <w:rFonts w:hint="default"/>
        <w:lang w:val="cs-CZ" w:eastAsia="en-US" w:bidi="ar-SA"/>
      </w:rPr>
    </w:lvl>
    <w:lvl w:ilvl="2" w:tplc="E51608C8">
      <w:numFmt w:val="bullet"/>
      <w:lvlText w:val="•"/>
      <w:lvlJc w:val="left"/>
      <w:pPr>
        <w:ind w:left="2149" w:hanging="240"/>
      </w:pPr>
      <w:rPr>
        <w:rFonts w:hint="default"/>
        <w:lang w:val="cs-CZ" w:eastAsia="en-US" w:bidi="ar-SA"/>
      </w:rPr>
    </w:lvl>
    <w:lvl w:ilvl="3" w:tplc="21CE3078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D1263350">
      <w:numFmt w:val="bullet"/>
      <w:lvlText w:val="•"/>
      <w:lvlJc w:val="left"/>
      <w:pPr>
        <w:ind w:left="3938" w:hanging="240"/>
      </w:pPr>
      <w:rPr>
        <w:rFonts w:hint="default"/>
        <w:lang w:val="cs-CZ" w:eastAsia="en-US" w:bidi="ar-SA"/>
      </w:rPr>
    </w:lvl>
    <w:lvl w:ilvl="5" w:tplc="F708B8EC">
      <w:numFmt w:val="bullet"/>
      <w:lvlText w:val="•"/>
      <w:lvlJc w:val="left"/>
      <w:pPr>
        <w:ind w:left="4833" w:hanging="240"/>
      </w:pPr>
      <w:rPr>
        <w:rFonts w:hint="default"/>
        <w:lang w:val="cs-CZ" w:eastAsia="en-US" w:bidi="ar-SA"/>
      </w:rPr>
    </w:lvl>
    <w:lvl w:ilvl="6" w:tplc="A7EEF9F8">
      <w:numFmt w:val="bullet"/>
      <w:lvlText w:val="•"/>
      <w:lvlJc w:val="left"/>
      <w:pPr>
        <w:ind w:left="5727" w:hanging="240"/>
      </w:pPr>
      <w:rPr>
        <w:rFonts w:hint="default"/>
        <w:lang w:val="cs-CZ" w:eastAsia="en-US" w:bidi="ar-SA"/>
      </w:rPr>
    </w:lvl>
    <w:lvl w:ilvl="7" w:tplc="36DE5430">
      <w:numFmt w:val="bullet"/>
      <w:lvlText w:val="•"/>
      <w:lvlJc w:val="left"/>
      <w:pPr>
        <w:ind w:left="6622" w:hanging="240"/>
      </w:pPr>
      <w:rPr>
        <w:rFonts w:hint="default"/>
        <w:lang w:val="cs-CZ" w:eastAsia="en-US" w:bidi="ar-SA"/>
      </w:rPr>
    </w:lvl>
    <w:lvl w:ilvl="8" w:tplc="426CAECE">
      <w:numFmt w:val="bullet"/>
      <w:lvlText w:val="•"/>
      <w:lvlJc w:val="left"/>
      <w:pPr>
        <w:ind w:left="7517" w:hanging="240"/>
      </w:pPr>
      <w:rPr>
        <w:rFonts w:hint="default"/>
        <w:lang w:val="cs-CZ" w:eastAsia="en-US" w:bidi="ar-SA"/>
      </w:rPr>
    </w:lvl>
  </w:abstractNum>
  <w:abstractNum w:abstractNumId="1" w15:restartNumberingAfterBreak="0">
    <w:nsid w:val="1EF847DF"/>
    <w:multiLevelType w:val="hybridMultilevel"/>
    <w:tmpl w:val="16B0C59A"/>
    <w:lvl w:ilvl="0" w:tplc="4646639C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49ED0D4">
      <w:numFmt w:val="bullet"/>
      <w:lvlText w:val="•"/>
      <w:lvlJc w:val="left"/>
      <w:pPr>
        <w:ind w:left="1254" w:hanging="240"/>
      </w:pPr>
      <w:rPr>
        <w:rFonts w:hint="default"/>
        <w:lang w:val="cs-CZ" w:eastAsia="en-US" w:bidi="ar-SA"/>
      </w:rPr>
    </w:lvl>
    <w:lvl w:ilvl="2" w:tplc="E802275C">
      <w:numFmt w:val="bullet"/>
      <w:lvlText w:val="•"/>
      <w:lvlJc w:val="left"/>
      <w:pPr>
        <w:ind w:left="2149" w:hanging="240"/>
      </w:pPr>
      <w:rPr>
        <w:rFonts w:hint="default"/>
        <w:lang w:val="cs-CZ" w:eastAsia="en-US" w:bidi="ar-SA"/>
      </w:rPr>
    </w:lvl>
    <w:lvl w:ilvl="3" w:tplc="4CD03964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442CFAC">
      <w:numFmt w:val="bullet"/>
      <w:lvlText w:val="•"/>
      <w:lvlJc w:val="left"/>
      <w:pPr>
        <w:ind w:left="3938" w:hanging="240"/>
      </w:pPr>
      <w:rPr>
        <w:rFonts w:hint="default"/>
        <w:lang w:val="cs-CZ" w:eastAsia="en-US" w:bidi="ar-SA"/>
      </w:rPr>
    </w:lvl>
    <w:lvl w:ilvl="5" w:tplc="9FEE16F0">
      <w:numFmt w:val="bullet"/>
      <w:lvlText w:val="•"/>
      <w:lvlJc w:val="left"/>
      <w:pPr>
        <w:ind w:left="4833" w:hanging="240"/>
      </w:pPr>
      <w:rPr>
        <w:rFonts w:hint="default"/>
        <w:lang w:val="cs-CZ" w:eastAsia="en-US" w:bidi="ar-SA"/>
      </w:rPr>
    </w:lvl>
    <w:lvl w:ilvl="6" w:tplc="41E43F90">
      <w:numFmt w:val="bullet"/>
      <w:lvlText w:val="•"/>
      <w:lvlJc w:val="left"/>
      <w:pPr>
        <w:ind w:left="5727" w:hanging="240"/>
      </w:pPr>
      <w:rPr>
        <w:rFonts w:hint="default"/>
        <w:lang w:val="cs-CZ" w:eastAsia="en-US" w:bidi="ar-SA"/>
      </w:rPr>
    </w:lvl>
    <w:lvl w:ilvl="7" w:tplc="E3A4A4E4">
      <w:numFmt w:val="bullet"/>
      <w:lvlText w:val="•"/>
      <w:lvlJc w:val="left"/>
      <w:pPr>
        <w:ind w:left="6622" w:hanging="240"/>
      </w:pPr>
      <w:rPr>
        <w:rFonts w:hint="default"/>
        <w:lang w:val="cs-CZ" w:eastAsia="en-US" w:bidi="ar-SA"/>
      </w:rPr>
    </w:lvl>
    <w:lvl w:ilvl="8" w:tplc="362463B2">
      <w:numFmt w:val="bullet"/>
      <w:lvlText w:val="•"/>
      <w:lvlJc w:val="left"/>
      <w:pPr>
        <w:ind w:left="7517" w:hanging="240"/>
      </w:pPr>
      <w:rPr>
        <w:rFonts w:hint="default"/>
        <w:lang w:val="cs-CZ" w:eastAsia="en-US" w:bidi="ar-SA"/>
      </w:rPr>
    </w:lvl>
  </w:abstractNum>
  <w:abstractNum w:abstractNumId="2" w15:restartNumberingAfterBreak="0">
    <w:nsid w:val="5B6860E2"/>
    <w:multiLevelType w:val="hybridMultilevel"/>
    <w:tmpl w:val="EF7E5258"/>
    <w:lvl w:ilvl="0" w:tplc="95E04CC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046B68E">
      <w:numFmt w:val="bullet"/>
      <w:lvlText w:val="•"/>
      <w:lvlJc w:val="left"/>
      <w:pPr>
        <w:ind w:left="1254" w:hanging="240"/>
      </w:pPr>
      <w:rPr>
        <w:rFonts w:hint="default"/>
        <w:lang w:val="cs-CZ" w:eastAsia="en-US" w:bidi="ar-SA"/>
      </w:rPr>
    </w:lvl>
    <w:lvl w:ilvl="2" w:tplc="19DA2CD4">
      <w:numFmt w:val="bullet"/>
      <w:lvlText w:val="•"/>
      <w:lvlJc w:val="left"/>
      <w:pPr>
        <w:ind w:left="2149" w:hanging="240"/>
      </w:pPr>
      <w:rPr>
        <w:rFonts w:hint="default"/>
        <w:lang w:val="cs-CZ" w:eastAsia="en-US" w:bidi="ar-SA"/>
      </w:rPr>
    </w:lvl>
    <w:lvl w:ilvl="3" w:tplc="50509C12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B7E590A">
      <w:numFmt w:val="bullet"/>
      <w:lvlText w:val="•"/>
      <w:lvlJc w:val="left"/>
      <w:pPr>
        <w:ind w:left="3938" w:hanging="240"/>
      </w:pPr>
      <w:rPr>
        <w:rFonts w:hint="default"/>
        <w:lang w:val="cs-CZ" w:eastAsia="en-US" w:bidi="ar-SA"/>
      </w:rPr>
    </w:lvl>
    <w:lvl w:ilvl="5" w:tplc="52481ABC">
      <w:numFmt w:val="bullet"/>
      <w:lvlText w:val="•"/>
      <w:lvlJc w:val="left"/>
      <w:pPr>
        <w:ind w:left="4833" w:hanging="240"/>
      </w:pPr>
      <w:rPr>
        <w:rFonts w:hint="default"/>
        <w:lang w:val="cs-CZ" w:eastAsia="en-US" w:bidi="ar-SA"/>
      </w:rPr>
    </w:lvl>
    <w:lvl w:ilvl="6" w:tplc="E886DA4C">
      <w:numFmt w:val="bullet"/>
      <w:lvlText w:val="•"/>
      <w:lvlJc w:val="left"/>
      <w:pPr>
        <w:ind w:left="5727" w:hanging="240"/>
      </w:pPr>
      <w:rPr>
        <w:rFonts w:hint="default"/>
        <w:lang w:val="cs-CZ" w:eastAsia="en-US" w:bidi="ar-SA"/>
      </w:rPr>
    </w:lvl>
    <w:lvl w:ilvl="7" w:tplc="4F48F7B4">
      <w:numFmt w:val="bullet"/>
      <w:lvlText w:val="•"/>
      <w:lvlJc w:val="left"/>
      <w:pPr>
        <w:ind w:left="6622" w:hanging="240"/>
      </w:pPr>
      <w:rPr>
        <w:rFonts w:hint="default"/>
        <w:lang w:val="cs-CZ" w:eastAsia="en-US" w:bidi="ar-SA"/>
      </w:rPr>
    </w:lvl>
    <w:lvl w:ilvl="8" w:tplc="3DD43A9C">
      <w:numFmt w:val="bullet"/>
      <w:lvlText w:val="•"/>
      <w:lvlJc w:val="left"/>
      <w:pPr>
        <w:ind w:left="7517" w:hanging="240"/>
      </w:pPr>
      <w:rPr>
        <w:rFonts w:hint="default"/>
        <w:lang w:val="cs-CZ" w:eastAsia="en-US" w:bidi="ar-SA"/>
      </w:rPr>
    </w:lvl>
  </w:abstractNum>
  <w:abstractNum w:abstractNumId="3" w15:restartNumberingAfterBreak="0">
    <w:nsid w:val="5E164BDC"/>
    <w:multiLevelType w:val="hybridMultilevel"/>
    <w:tmpl w:val="EF7E5258"/>
    <w:lvl w:ilvl="0" w:tplc="95E04CC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046B68E">
      <w:numFmt w:val="bullet"/>
      <w:lvlText w:val="•"/>
      <w:lvlJc w:val="left"/>
      <w:pPr>
        <w:ind w:left="1254" w:hanging="240"/>
      </w:pPr>
      <w:rPr>
        <w:rFonts w:hint="default"/>
        <w:lang w:val="cs-CZ" w:eastAsia="en-US" w:bidi="ar-SA"/>
      </w:rPr>
    </w:lvl>
    <w:lvl w:ilvl="2" w:tplc="19DA2CD4">
      <w:numFmt w:val="bullet"/>
      <w:lvlText w:val="•"/>
      <w:lvlJc w:val="left"/>
      <w:pPr>
        <w:ind w:left="2149" w:hanging="240"/>
      </w:pPr>
      <w:rPr>
        <w:rFonts w:hint="default"/>
        <w:lang w:val="cs-CZ" w:eastAsia="en-US" w:bidi="ar-SA"/>
      </w:rPr>
    </w:lvl>
    <w:lvl w:ilvl="3" w:tplc="50509C12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B7E590A">
      <w:numFmt w:val="bullet"/>
      <w:lvlText w:val="•"/>
      <w:lvlJc w:val="left"/>
      <w:pPr>
        <w:ind w:left="3938" w:hanging="240"/>
      </w:pPr>
      <w:rPr>
        <w:rFonts w:hint="default"/>
        <w:lang w:val="cs-CZ" w:eastAsia="en-US" w:bidi="ar-SA"/>
      </w:rPr>
    </w:lvl>
    <w:lvl w:ilvl="5" w:tplc="52481ABC">
      <w:numFmt w:val="bullet"/>
      <w:lvlText w:val="•"/>
      <w:lvlJc w:val="left"/>
      <w:pPr>
        <w:ind w:left="4833" w:hanging="240"/>
      </w:pPr>
      <w:rPr>
        <w:rFonts w:hint="default"/>
        <w:lang w:val="cs-CZ" w:eastAsia="en-US" w:bidi="ar-SA"/>
      </w:rPr>
    </w:lvl>
    <w:lvl w:ilvl="6" w:tplc="E886DA4C">
      <w:numFmt w:val="bullet"/>
      <w:lvlText w:val="•"/>
      <w:lvlJc w:val="left"/>
      <w:pPr>
        <w:ind w:left="5727" w:hanging="240"/>
      </w:pPr>
      <w:rPr>
        <w:rFonts w:hint="default"/>
        <w:lang w:val="cs-CZ" w:eastAsia="en-US" w:bidi="ar-SA"/>
      </w:rPr>
    </w:lvl>
    <w:lvl w:ilvl="7" w:tplc="4F48F7B4">
      <w:numFmt w:val="bullet"/>
      <w:lvlText w:val="•"/>
      <w:lvlJc w:val="left"/>
      <w:pPr>
        <w:ind w:left="6622" w:hanging="240"/>
      </w:pPr>
      <w:rPr>
        <w:rFonts w:hint="default"/>
        <w:lang w:val="cs-CZ" w:eastAsia="en-US" w:bidi="ar-SA"/>
      </w:rPr>
    </w:lvl>
    <w:lvl w:ilvl="8" w:tplc="3DD43A9C">
      <w:numFmt w:val="bullet"/>
      <w:lvlText w:val="•"/>
      <w:lvlJc w:val="left"/>
      <w:pPr>
        <w:ind w:left="7517" w:hanging="240"/>
      </w:pPr>
      <w:rPr>
        <w:rFonts w:hint="default"/>
        <w:lang w:val="cs-CZ" w:eastAsia="en-US" w:bidi="ar-SA"/>
      </w:rPr>
    </w:lvl>
  </w:abstractNum>
  <w:abstractNum w:abstractNumId="4" w15:restartNumberingAfterBreak="0">
    <w:nsid w:val="67AA252D"/>
    <w:multiLevelType w:val="hybridMultilevel"/>
    <w:tmpl w:val="C310D038"/>
    <w:lvl w:ilvl="0" w:tplc="AA867018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1908A04">
      <w:numFmt w:val="bullet"/>
      <w:lvlText w:val="•"/>
      <w:lvlJc w:val="left"/>
      <w:pPr>
        <w:ind w:left="1254" w:hanging="240"/>
      </w:pPr>
      <w:rPr>
        <w:rFonts w:hint="default"/>
        <w:lang w:val="cs-CZ" w:eastAsia="en-US" w:bidi="ar-SA"/>
      </w:rPr>
    </w:lvl>
    <w:lvl w:ilvl="2" w:tplc="26E44E96">
      <w:numFmt w:val="bullet"/>
      <w:lvlText w:val="•"/>
      <w:lvlJc w:val="left"/>
      <w:pPr>
        <w:ind w:left="2149" w:hanging="240"/>
      </w:pPr>
      <w:rPr>
        <w:rFonts w:hint="default"/>
        <w:lang w:val="cs-CZ" w:eastAsia="en-US" w:bidi="ar-SA"/>
      </w:rPr>
    </w:lvl>
    <w:lvl w:ilvl="3" w:tplc="68D65FFE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FDCADC6">
      <w:numFmt w:val="bullet"/>
      <w:lvlText w:val="•"/>
      <w:lvlJc w:val="left"/>
      <w:pPr>
        <w:ind w:left="3938" w:hanging="240"/>
      </w:pPr>
      <w:rPr>
        <w:rFonts w:hint="default"/>
        <w:lang w:val="cs-CZ" w:eastAsia="en-US" w:bidi="ar-SA"/>
      </w:rPr>
    </w:lvl>
    <w:lvl w:ilvl="5" w:tplc="395273FE">
      <w:numFmt w:val="bullet"/>
      <w:lvlText w:val="•"/>
      <w:lvlJc w:val="left"/>
      <w:pPr>
        <w:ind w:left="4833" w:hanging="240"/>
      </w:pPr>
      <w:rPr>
        <w:rFonts w:hint="default"/>
        <w:lang w:val="cs-CZ" w:eastAsia="en-US" w:bidi="ar-SA"/>
      </w:rPr>
    </w:lvl>
    <w:lvl w:ilvl="6" w:tplc="322055B0">
      <w:numFmt w:val="bullet"/>
      <w:lvlText w:val="•"/>
      <w:lvlJc w:val="left"/>
      <w:pPr>
        <w:ind w:left="5727" w:hanging="240"/>
      </w:pPr>
      <w:rPr>
        <w:rFonts w:hint="default"/>
        <w:lang w:val="cs-CZ" w:eastAsia="en-US" w:bidi="ar-SA"/>
      </w:rPr>
    </w:lvl>
    <w:lvl w:ilvl="7" w:tplc="90E2B77A">
      <w:numFmt w:val="bullet"/>
      <w:lvlText w:val="•"/>
      <w:lvlJc w:val="left"/>
      <w:pPr>
        <w:ind w:left="6622" w:hanging="240"/>
      </w:pPr>
      <w:rPr>
        <w:rFonts w:hint="default"/>
        <w:lang w:val="cs-CZ" w:eastAsia="en-US" w:bidi="ar-SA"/>
      </w:rPr>
    </w:lvl>
    <w:lvl w:ilvl="8" w:tplc="77C64444">
      <w:numFmt w:val="bullet"/>
      <w:lvlText w:val="•"/>
      <w:lvlJc w:val="left"/>
      <w:pPr>
        <w:ind w:left="7517" w:hanging="240"/>
      </w:pPr>
      <w:rPr>
        <w:rFonts w:hint="default"/>
        <w:lang w:val="cs-CZ" w:eastAsia="en-US" w:bidi="ar-SA"/>
      </w:rPr>
    </w:lvl>
  </w:abstractNum>
  <w:abstractNum w:abstractNumId="5" w15:restartNumberingAfterBreak="0">
    <w:nsid w:val="691D4078"/>
    <w:multiLevelType w:val="hybridMultilevel"/>
    <w:tmpl w:val="EB9AF982"/>
    <w:lvl w:ilvl="0" w:tplc="7DB8619E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1984504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33DE550C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37D8C1A0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A4668260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3904D4F4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2722CB46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E7A40B54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D4BA97CC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8897EA1"/>
    <w:multiLevelType w:val="hybridMultilevel"/>
    <w:tmpl w:val="8C9A79D2"/>
    <w:lvl w:ilvl="0" w:tplc="F2A2D8AC">
      <w:start w:val="8"/>
      <w:numFmt w:val="lowerLetter"/>
      <w:lvlText w:val="%1)"/>
      <w:lvlJc w:val="left"/>
      <w:pPr>
        <w:ind w:left="11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0AE36C0">
      <w:start w:val="1"/>
      <w:numFmt w:val="decimal"/>
      <w:lvlText w:val="%2."/>
      <w:lvlJc w:val="left"/>
      <w:pPr>
        <w:ind w:left="5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B1A6A91A">
      <w:numFmt w:val="bullet"/>
      <w:lvlText w:val="•"/>
      <w:lvlJc w:val="left"/>
      <w:pPr>
        <w:ind w:left="1514" w:hanging="286"/>
      </w:pPr>
      <w:rPr>
        <w:rFonts w:hint="default"/>
        <w:lang w:val="cs-CZ" w:eastAsia="en-US" w:bidi="ar-SA"/>
      </w:rPr>
    </w:lvl>
    <w:lvl w:ilvl="3" w:tplc="ECF617F2">
      <w:numFmt w:val="bullet"/>
      <w:lvlText w:val="•"/>
      <w:lvlJc w:val="left"/>
      <w:pPr>
        <w:ind w:left="2488" w:hanging="286"/>
      </w:pPr>
      <w:rPr>
        <w:rFonts w:hint="default"/>
        <w:lang w:val="cs-CZ" w:eastAsia="en-US" w:bidi="ar-SA"/>
      </w:rPr>
    </w:lvl>
    <w:lvl w:ilvl="4" w:tplc="15E0796A">
      <w:numFmt w:val="bullet"/>
      <w:lvlText w:val="•"/>
      <w:lvlJc w:val="left"/>
      <w:pPr>
        <w:ind w:left="3462" w:hanging="286"/>
      </w:pPr>
      <w:rPr>
        <w:rFonts w:hint="default"/>
        <w:lang w:val="cs-CZ" w:eastAsia="en-US" w:bidi="ar-SA"/>
      </w:rPr>
    </w:lvl>
    <w:lvl w:ilvl="5" w:tplc="5BC27F9E">
      <w:numFmt w:val="bullet"/>
      <w:lvlText w:val="•"/>
      <w:lvlJc w:val="left"/>
      <w:pPr>
        <w:ind w:left="4436" w:hanging="286"/>
      </w:pPr>
      <w:rPr>
        <w:rFonts w:hint="default"/>
        <w:lang w:val="cs-CZ" w:eastAsia="en-US" w:bidi="ar-SA"/>
      </w:rPr>
    </w:lvl>
    <w:lvl w:ilvl="6" w:tplc="6C9AD012">
      <w:numFmt w:val="bullet"/>
      <w:lvlText w:val="•"/>
      <w:lvlJc w:val="left"/>
      <w:pPr>
        <w:ind w:left="5410" w:hanging="286"/>
      </w:pPr>
      <w:rPr>
        <w:rFonts w:hint="default"/>
        <w:lang w:val="cs-CZ" w:eastAsia="en-US" w:bidi="ar-SA"/>
      </w:rPr>
    </w:lvl>
    <w:lvl w:ilvl="7" w:tplc="E52C7172">
      <w:numFmt w:val="bullet"/>
      <w:lvlText w:val="•"/>
      <w:lvlJc w:val="left"/>
      <w:pPr>
        <w:ind w:left="6384" w:hanging="286"/>
      </w:pPr>
      <w:rPr>
        <w:rFonts w:hint="default"/>
        <w:lang w:val="cs-CZ" w:eastAsia="en-US" w:bidi="ar-SA"/>
      </w:rPr>
    </w:lvl>
    <w:lvl w:ilvl="8" w:tplc="9312A046">
      <w:numFmt w:val="bullet"/>
      <w:lvlText w:val="•"/>
      <w:lvlJc w:val="left"/>
      <w:pPr>
        <w:ind w:left="7358" w:hanging="286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29"/>
    <w:rsid w:val="00020FDC"/>
    <w:rsid w:val="0014590E"/>
    <w:rsid w:val="007A2A85"/>
    <w:rsid w:val="00A34A68"/>
    <w:rsid w:val="00A454E8"/>
    <w:rsid w:val="00B24426"/>
    <w:rsid w:val="00C3536F"/>
    <w:rsid w:val="00CC5FF7"/>
    <w:rsid w:val="00E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44DAC-F4A5-415A-B0E3-6494DBD0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61"/>
      <w:ind w:left="476" w:hanging="360"/>
    </w:pPr>
    <w:rPr>
      <w:sz w:val="24"/>
      <w:szCs w:val="24"/>
    </w:rPr>
  </w:style>
  <w:style w:type="paragraph" w:styleId="Nzev">
    <w:name w:val="Title"/>
    <w:basedOn w:val="Normln"/>
    <w:uiPriority w:val="1"/>
    <w:qFormat/>
    <w:pPr>
      <w:ind w:left="248" w:right="251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61"/>
      <w:ind w:left="476" w:hanging="360"/>
    </w:pPr>
  </w:style>
  <w:style w:type="paragraph" w:customStyle="1" w:styleId="TableParagraph">
    <w:name w:val="Table Paragraph"/>
    <w:basedOn w:val="Normln"/>
    <w:uiPriority w:val="1"/>
    <w:qFormat/>
    <w:pPr>
      <w:ind w:left="75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4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A68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Studenovský Miloš Mgr.</dc:creator>
  <cp:lastModifiedBy>Kymlička Jan</cp:lastModifiedBy>
  <cp:revision>2</cp:revision>
  <cp:lastPrinted>2024-02-15T07:49:00Z</cp:lastPrinted>
  <dcterms:created xsi:type="dcterms:W3CDTF">2024-02-15T08:01:00Z</dcterms:created>
  <dcterms:modified xsi:type="dcterms:W3CDTF">2024-02-15T08:01:00Z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2024-02-14T00:00:00Z</vt:filetime>
  </property>
  <property fmtid="{D5CDD505-2E9C-101B-9397-08002B2CF9AE}" pid="5" name="Producer">
    <vt:lpwstr>Microsoft® Word 2013</vt:lpwstr>
  </property>
</Properties>
</file>