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spacing w:before="0" w:after="0"/>
        <w:jc w:val="center"/>
        <w:rPr>
          <w:b/>
          <w:b/>
          <w:sz w:val="32"/>
        </w:rPr>
      </w:pPr>
      <w:r>
        <w:rPr>
          <w:b/>
          <w:sz w:val="32"/>
        </w:rPr>
        <w:t>OBEC BÍLÝ ÚJEZD</w:t>
      </w:r>
    </w:p>
    <w:p>
      <w:pPr>
        <w:pStyle w:val="Tlotextu"/>
        <w:spacing w:before="0" w:after="0"/>
        <w:jc w:val="center"/>
        <w:rPr>
          <w:b/>
          <w:b/>
          <w:sz w:val="32"/>
        </w:rPr>
      </w:pPr>
      <w:r>
        <w:rPr>
          <w:b/>
          <w:sz w:val="32"/>
        </w:rPr>
      </w:r>
    </w:p>
    <w:p>
      <w:pPr>
        <w:pStyle w:val="NormlnIMP"/>
        <w:spacing w:lineRule="auto" w:line="240"/>
        <w:jc w:val="center"/>
        <w:rPr>
          <w:b/>
          <w:b/>
          <w:color w:val="000000"/>
          <w:sz w:val="28"/>
        </w:rPr>
      </w:pPr>
      <w:r>
        <w:rPr>
          <w:b/>
          <w:color w:val="000000"/>
          <w:sz w:val="32"/>
        </w:rPr>
        <w:t>Obecně závazná vyhláška obce Bílý Újezd</w:t>
      </w:r>
    </w:p>
    <w:p>
      <w:pPr>
        <w:pStyle w:val="NormlnIMP"/>
        <w:spacing w:lineRule="auto" w:line="240"/>
        <w:jc w:val="center"/>
        <w:rPr>
          <w:b/>
          <w:b/>
          <w:color w:val="000000"/>
          <w:sz w:val="32"/>
        </w:rPr>
      </w:pPr>
      <w:r>
        <w:rPr>
          <w:b/>
          <w:color w:val="000000"/>
          <w:sz w:val="32"/>
        </w:rPr>
      </w:r>
    </w:p>
    <w:p>
      <w:pPr>
        <w:pStyle w:val="Normal"/>
        <w:jc w:val="center"/>
        <w:rPr>
          <w:b/>
          <w:b/>
          <w:u w:val="single"/>
        </w:rPr>
      </w:pPr>
      <w:r>
        <w:rPr>
          <w:b/>
          <w:color w:val="000000"/>
          <w:sz w:val="28"/>
          <w:szCs w:val="20"/>
        </w:rPr>
        <w:t>o stanovení obecního systému odpadového hospodářství</w:t>
      </w:r>
    </w:p>
    <w:p>
      <w:pPr>
        <w:pStyle w:val="Normal"/>
        <w:jc w:val="both"/>
        <w:rPr>
          <w:b/>
          <w:b/>
          <w:u w:val="single"/>
        </w:rPr>
      </w:pPr>
      <w:r>
        <w:rPr>
          <w:b/>
          <w:u w:val="single"/>
        </w:rPr>
      </w:r>
    </w:p>
    <w:p>
      <w:pPr>
        <w:pStyle w:val="Normal"/>
        <w:jc w:val="both"/>
        <w:rPr>
          <w:bCs/>
          <w:szCs w:val="20"/>
        </w:rPr>
      </w:pPr>
      <w:r>
        <w:rPr>
          <w:bCs/>
          <w:szCs w:val="20"/>
        </w:rPr>
        <w:t>Zastupitelstvo obce Bílý Újezd se na svém zasedání dne 12. 12. 2024 usnesením č. 16/2024</w:t>
      </w:r>
    </w:p>
    <w:p>
      <w:pPr>
        <w:pStyle w:val="Normal"/>
        <w:jc w:val="both"/>
        <w:rPr>
          <w:bCs/>
          <w:szCs w:val="20"/>
        </w:rPr>
      </w:pPr>
      <w:r>
        <w:rPr>
          <w:bCs/>
          <w:szCs w:val="20"/>
        </w:rPr>
        <w:t>usneslo vydat na základě § 59 odst. 4 zákona č. 541/2020 Sb., o odpadech (dále jen „zákon</w:t>
      </w:r>
    </w:p>
    <w:p>
      <w:pPr>
        <w:pStyle w:val="Normal"/>
        <w:jc w:val="both"/>
        <w:rPr>
          <w:bCs/>
          <w:szCs w:val="20"/>
        </w:rPr>
      </w:pPr>
      <w:r>
        <w:rPr>
          <w:bCs/>
          <w:szCs w:val="20"/>
        </w:rPr>
        <w:t>o odpadech“), a v souladu s § 10 písm. d) a § 84 odst. 2 písm. h) zákona č. 128/2000 Sb.,</w:t>
      </w:r>
    </w:p>
    <w:p>
      <w:pPr>
        <w:pStyle w:val="Normal"/>
        <w:jc w:val="both"/>
        <w:rPr>
          <w:bCs/>
          <w:szCs w:val="20"/>
        </w:rPr>
      </w:pPr>
      <w:r>
        <w:rPr>
          <w:bCs/>
          <w:szCs w:val="20"/>
        </w:rPr>
        <w:t>o obcích (obecní zřízení), ve znění pozdějších předpisů, tuto obecně závaznou vyhlášku</w:t>
      </w:r>
    </w:p>
    <w:p>
      <w:pPr>
        <w:pStyle w:val="Normal"/>
        <w:jc w:val="both"/>
        <w:rPr>
          <w:b/>
          <w:b/>
        </w:rPr>
      </w:pPr>
      <w:r>
        <w:rPr>
          <w:bCs/>
          <w:szCs w:val="20"/>
        </w:rPr>
        <w:t>(dále jen „vyhláška“):</w:t>
      </w:r>
    </w:p>
    <w:p>
      <w:pPr>
        <w:pStyle w:val="Normal"/>
        <w:jc w:val="center"/>
        <w:rPr>
          <w:b/>
          <w:b/>
        </w:rPr>
      </w:pPr>
      <w:r>
        <w:rPr>
          <w:b/>
        </w:rPr>
      </w:r>
    </w:p>
    <w:p>
      <w:pPr>
        <w:pStyle w:val="Normal"/>
        <w:jc w:val="center"/>
        <w:rPr>
          <w:b/>
          <w:b/>
        </w:rPr>
      </w:pPr>
      <w:r>
        <w:rPr>
          <w:b/>
        </w:rPr>
      </w:r>
    </w:p>
    <w:p>
      <w:pPr>
        <w:pStyle w:val="Normal"/>
        <w:jc w:val="center"/>
        <w:rPr>
          <w:b/>
          <w:b/>
        </w:rPr>
      </w:pPr>
      <w:r>
        <w:rPr>
          <w:b/>
        </w:rPr>
        <w:t>Čl. 1</w:t>
      </w:r>
    </w:p>
    <w:p>
      <w:pPr>
        <w:pStyle w:val="Nadpis2"/>
        <w:jc w:val="center"/>
        <w:rPr/>
      </w:pPr>
      <w:r>
        <w:rPr>
          <w:b/>
          <w:bCs/>
          <w:u w:val="none"/>
        </w:rPr>
        <w:t>Úvodní ustanovení</w:t>
      </w:r>
    </w:p>
    <w:p>
      <w:pPr>
        <w:pStyle w:val="Normal"/>
        <w:jc w:val="center"/>
        <w:rPr>
          <w:b/>
          <w:b/>
          <w:bCs/>
          <w:u w:val="single"/>
        </w:rPr>
      </w:pPr>
      <w:r>
        <w:rPr>
          <w:b/>
          <w:bCs/>
          <w:u w:val="single"/>
        </w:rPr>
      </w:r>
    </w:p>
    <w:p>
      <w:pPr>
        <w:pStyle w:val="Normal"/>
        <w:spacing w:before="0" w:after="120"/>
        <w:jc w:val="both"/>
        <w:rPr/>
      </w:pPr>
      <w:r>
        <w:rPr/>
        <w:t>1) Tato vyhláška stanovuje obecní systém odpadového hospodářství na území obce Bílý Újezd.</w:t>
      </w:r>
    </w:p>
    <w:p>
      <w:pPr>
        <w:pStyle w:val="Normal"/>
        <w:spacing w:before="0" w:after="120"/>
        <w:jc w:val="both"/>
        <w:rPr/>
      </w:pPr>
      <w:r>
        <w:rPr/>
        <w:t>2) Každý je povinen odpad, který předává do obecního systému, odkládat na místa určená obcí v souladu s povinnostmi stanovenými pro daný druh, kategorii nebo materiál odpadu zákonem o odpadech a touto vyhláškou</w:t>
      </w:r>
      <w:r>
        <w:rPr>
          <w:rStyle w:val="Znakypropoznmkupodarou"/>
          <w:rStyle w:val="Ukotvenpoznmkypodarou"/>
        </w:rPr>
        <w:footnoteReference w:id="2"/>
      </w:r>
      <w:r>
        <w:rPr/>
        <w:t>.</w:t>
      </w:r>
    </w:p>
    <w:p>
      <w:pPr>
        <w:pStyle w:val="Normal"/>
        <w:spacing w:before="0" w:after="120"/>
        <w:jc w:val="both"/>
        <w:rPr/>
      </w:pPr>
      <w:r>
        <w:rPr/>
        <w:t>3) V okamžiku, kdy osoba zapojená do obecního systému odloží odpad, s výjimkou výrobků s ukončenou životností, na místě obcí k tomuto účelu určeném, stává se obec vlastníkem tohoto odpadu</w:t>
      </w:r>
      <w:r>
        <w:rPr>
          <w:rStyle w:val="Znakypropoznmkupodarou"/>
          <w:rStyle w:val="Ukotvenpoznmkypodarou"/>
        </w:rPr>
        <w:footnoteReference w:id="3"/>
      </w:r>
      <w:r>
        <w:rPr/>
        <w:t>.</w:t>
      </w:r>
    </w:p>
    <w:p>
      <w:pPr>
        <w:pStyle w:val="Normal"/>
        <w:spacing w:before="0" w:after="120"/>
        <w:jc w:val="both"/>
        <w:rPr/>
      </w:pPr>
      <w:r>
        <w:rPr/>
        <w:t>4) Stanoviště sběrných nádob je místo, kde jsou sběrné nádoby trvale nebo přechodně umístěny za účelem dalšího nakládání s komunálním odpadem.</w:t>
      </w:r>
    </w:p>
    <w:p>
      <w:pPr>
        <w:pStyle w:val="Normal"/>
        <w:spacing w:before="0" w:after="120"/>
        <w:jc w:val="both"/>
        <w:rPr/>
      </w:pPr>
      <w:r>
        <w:rPr/>
      </w:r>
    </w:p>
    <w:p>
      <w:pPr>
        <w:pStyle w:val="Normal"/>
        <w:spacing w:before="0" w:after="120"/>
        <w:jc w:val="center"/>
        <w:rPr>
          <w:b/>
          <w:b/>
        </w:rPr>
      </w:pPr>
      <w:r>
        <w:rPr>
          <w:b/>
        </w:rPr>
        <w:t>Čl. 2</w:t>
      </w:r>
    </w:p>
    <w:p>
      <w:pPr>
        <w:pStyle w:val="Normal"/>
        <w:jc w:val="center"/>
        <w:rPr>
          <w:b/>
          <w:b/>
        </w:rPr>
      </w:pPr>
      <w:r>
        <w:rPr>
          <w:b/>
        </w:rPr>
        <w:t>Oddělené soustřeďování komunálního odpadu</w:t>
      </w:r>
    </w:p>
    <w:p>
      <w:pPr>
        <w:pStyle w:val="Normal"/>
        <w:rPr>
          <w:b/>
          <w:b/>
        </w:rPr>
      </w:pPr>
      <w:r>
        <w:rPr>
          <w:b/>
        </w:rPr>
      </w:r>
    </w:p>
    <w:p>
      <w:pPr>
        <w:pStyle w:val="Normal"/>
        <w:rPr>
          <w:bCs/>
        </w:rPr>
      </w:pPr>
      <w:r>
        <w:rPr>
          <w:bCs/>
        </w:rPr>
        <w:t>1) Osoby předávající komunální odpad na místa určená obcí jsou povinny odděleně soustřeďovat následující složky:</w:t>
      </w:r>
    </w:p>
    <w:p>
      <w:pPr>
        <w:pStyle w:val="Normal"/>
        <w:rPr>
          <w:i/>
          <w:i/>
          <w:iCs/>
        </w:rPr>
      </w:pPr>
      <w:r>
        <w:rPr>
          <w:i/>
          <w:iCs/>
        </w:rPr>
        <w:t xml:space="preserve">     </w:t>
      </w:r>
    </w:p>
    <w:p>
      <w:pPr>
        <w:pStyle w:val="Normal"/>
        <w:spacing w:before="0" w:after="120"/>
        <w:rPr>
          <w:iCs/>
        </w:rPr>
      </w:pPr>
      <w:r>
        <w:rPr>
          <w:iCs/>
        </w:rPr>
        <w:t>a) Biologické odpady,</w:t>
      </w:r>
    </w:p>
    <w:p>
      <w:pPr>
        <w:pStyle w:val="Normal"/>
        <w:spacing w:before="0" w:after="120"/>
        <w:rPr>
          <w:iCs/>
        </w:rPr>
      </w:pPr>
      <w:r>
        <w:rPr>
          <w:iCs/>
        </w:rPr>
        <w:t>b) Papír,</w:t>
      </w:r>
    </w:p>
    <w:p>
      <w:pPr>
        <w:pStyle w:val="Normal"/>
        <w:spacing w:before="0" w:after="120"/>
        <w:rPr/>
      </w:pPr>
      <w:r>
        <w:rPr>
          <w:iCs/>
        </w:rPr>
        <w:t>c) Plasty a nápojové kartony,</w:t>
      </w:r>
    </w:p>
    <w:p>
      <w:pPr>
        <w:pStyle w:val="Normal"/>
        <w:spacing w:before="0" w:after="120"/>
        <w:rPr>
          <w:iCs/>
        </w:rPr>
      </w:pPr>
      <w:r>
        <w:rPr>
          <w:iCs/>
        </w:rPr>
        <w:t>d) Sklo,</w:t>
      </w:r>
    </w:p>
    <w:p>
      <w:pPr>
        <w:pStyle w:val="Normal"/>
        <w:spacing w:before="0" w:after="120"/>
        <w:rPr>
          <w:iCs/>
        </w:rPr>
      </w:pPr>
      <w:r>
        <w:rPr>
          <w:iCs/>
        </w:rPr>
        <w:t>e) Nebezpečné odpady,</w:t>
      </w:r>
    </w:p>
    <w:p>
      <w:pPr>
        <w:pStyle w:val="Normal"/>
        <w:spacing w:before="0" w:after="120"/>
        <w:rPr>
          <w:iCs/>
        </w:rPr>
      </w:pPr>
      <w:r>
        <w:rPr>
          <w:iCs/>
        </w:rPr>
        <w:t>f) Objemný odpad,</w:t>
      </w:r>
    </w:p>
    <w:p>
      <w:pPr>
        <w:pStyle w:val="Normal"/>
        <w:spacing w:before="0" w:after="120"/>
        <w:rPr/>
      </w:pPr>
      <w:r>
        <w:rPr>
          <w:iCs/>
        </w:rPr>
        <w:t>g) Jedlé oleje a tuky,</w:t>
      </w:r>
    </w:p>
    <w:p>
      <w:pPr>
        <w:pStyle w:val="Normal"/>
        <w:spacing w:before="0" w:after="120"/>
        <w:rPr/>
      </w:pPr>
      <w:r>
        <w:rPr>
          <w:iCs/>
        </w:rPr>
        <w:t>h) Textil,</w:t>
      </w:r>
    </w:p>
    <w:p>
      <w:pPr>
        <w:pStyle w:val="Normal"/>
        <w:spacing w:before="0" w:after="120"/>
        <w:rPr>
          <w:iCs/>
        </w:rPr>
      </w:pPr>
      <w:r>
        <w:rPr>
          <w:iCs/>
        </w:rPr>
        <w:t>i) Směsný komunální odpad.</w:t>
      </w:r>
    </w:p>
    <w:p>
      <w:pPr>
        <w:pStyle w:val="Normal"/>
        <w:spacing w:before="0" w:after="120"/>
        <w:rPr>
          <w:iCs/>
        </w:rPr>
      </w:pPr>
      <w:r>
        <w:rPr>
          <w:iCs/>
        </w:rPr>
      </w:r>
    </w:p>
    <w:p>
      <w:pPr>
        <w:pStyle w:val="Normal"/>
        <w:spacing w:before="0" w:after="120"/>
        <w:jc w:val="both"/>
        <w:rPr>
          <w:iCs/>
        </w:rPr>
      </w:pPr>
      <w:r>
        <w:rPr>
          <w:iCs/>
        </w:rPr>
        <w:t>2) Směsným komunálním odpadem se rozumí zbylý komunální odpad po stanoveném</w:t>
      </w:r>
    </w:p>
    <w:p>
      <w:pPr>
        <w:pStyle w:val="Normal"/>
        <w:spacing w:before="0" w:after="120"/>
        <w:jc w:val="both"/>
        <w:rPr>
          <w:iCs/>
        </w:rPr>
      </w:pPr>
      <w:r>
        <w:rPr>
          <w:iCs/>
        </w:rPr>
        <w:t>vytřídění podle odstavce 1 písm. a) až h).</w:t>
      </w:r>
    </w:p>
    <w:p>
      <w:pPr>
        <w:pStyle w:val="Normal"/>
        <w:spacing w:before="0" w:after="120"/>
        <w:jc w:val="both"/>
        <w:rPr>
          <w:iCs/>
        </w:rPr>
      </w:pPr>
      <w:r>
        <w:rPr>
          <w:iCs/>
        </w:rPr>
      </w:r>
    </w:p>
    <w:p>
      <w:pPr>
        <w:pStyle w:val="Normal"/>
        <w:spacing w:before="0" w:after="120"/>
        <w:jc w:val="both"/>
        <w:rPr>
          <w:iCs/>
        </w:rPr>
      </w:pPr>
      <w:r>
        <w:rPr>
          <w:iCs/>
        </w:rPr>
        <w:t>3) Objemný odpad je takový odpad, který vzhledem ke svým rozměrům nemůže být</w:t>
      </w:r>
    </w:p>
    <w:p>
      <w:pPr>
        <w:pStyle w:val="Normal"/>
        <w:spacing w:before="0" w:after="120"/>
        <w:jc w:val="both"/>
        <w:rPr>
          <w:iCs/>
        </w:rPr>
      </w:pPr>
      <w:r>
        <w:rPr>
          <w:iCs/>
        </w:rPr>
        <w:t>umístěn do sběrných nádob.</w:t>
      </w:r>
    </w:p>
    <w:p>
      <w:pPr>
        <w:pStyle w:val="Normal"/>
        <w:spacing w:before="0" w:after="120"/>
        <w:jc w:val="center"/>
        <w:rPr>
          <w:iCs/>
        </w:rPr>
      </w:pPr>
      <w:r>
        <w:rPr>
          <w:iCs/>
        </w:rPr>
      </w:r>
    </w:p>
    <w:p>
      <w:pPr>
        <w:pStyle w:val="Normal"/>
        <w:spacing w:before="0" w:after="120"/>
        <w:jc w:val="center"/>
        <w:rPr>
          <w:iCs/>
        </w:rPr>
      </w:pPr>
      <w:r>
        <w:rPr>
          <w:iCs/>
        </w:rPr>
      </w:r>
    </w:p>
    <w:p>
      <w:pPr>
        <w:pStyle w:val="Normal"/>
        <w:spacing w:before="0" w:after="120"/>
        <w:jc w:val="center"/>
        <w:rPr>
          <w:b/>
          <w:b/>
        </w:rPr>
      </w:pPr>
      <w:r>
        <w:rPr>
          <w:b/>
        </w:rPr>
        <w:t>Čl. 3</w:t>
      </w:r>
    </w:p>
    <w:p>
      <w:pPr>
        <w:pStyle w:val="Nadpis2"/>
        <w:jc w:val="center"/>
        <w:rPr>
          <w:b/>
          <w:b/>
          <w:bCs/>
          <w:u w:val="none"/>
        </w:rPr>
      </w:pPr>
      <w:r>
        <w:rPr>
          <w:b/>
          <w:bCs/>
          <w:u w:val="none"/>
        </w:rPr>
        <w:t>Shromažďování tříděného odpadu</w:t>
      </w:r>
    </w:p>
    <w:p>
      <w:pPr>
        <w:pStyle w:val="Normal"/>
        <w:jc w:val="center"/>
        <w:rPr>
          <w:b/>
          <w:b/>
          <w:bCs/>
          <w:u w:val="single"/>
        </w:rPr>
      </w:pPr>
      <w:r>
        <w:rPr>
          <w:b/>
          <w:bCs/>
          <w:u w:val="single"/>
        </w:rPr>
      </w:r>
    </w:p>
    <w:p>
      <w:pPr>
        <w:pStyle w:val="Normal"/>
        <w:numPr>
          <w:ilvl w:val="0"/>
          <w:numId w:val="4"/>
        </w:numPr>
        <w:tabs>
          <w:tab w:val="clear" w:pos="708"/>
          <w:tab w:val="left" w:pos="540" w:leader="none"/>
          <w:tab w:val="left" w:pos="927" w:leader="none"/>
        </w:tabs>
        <w:ind w:left="0" w:hanging="0"/>
        <w:rPr/>
      </w:pPr>
      <w:r>
        <w:rPr/>
        <w:t xml:space="preserve">Tříděný odpad je shromažďován do </w:t>
      </w:r>
      <w:r>
        <w:rPr>
          <w:bCs/>
        </w:rPr>
        <w:t>zvláštních sběrných nádob.</w:t>
      </w:r>
    </w:p>
    <w:p>
      <w:pPr>
        <w:pStyle w:val="Normal"/>
        <w:rPr/>
      </w:pPr>
      <w:r>
        <w:rPr/>
      </w:r>
    </w:p>
    <w:p>
      <w:pPr>
        <w:pStyle w:val="Normal"/>
        <w:numPr>
          <w:ilvl w:val="0"/>
          <w:numId w:val="4"/>
        </w:numPr>
        <w:tabs>
          <w:tab w:val="clear" w:pos="708"/>
          <w:tab w:val="left" w:pos="540" w:leader="none"/>
          <w:tab w:val="left" w:pos="927" w:leader="none"/>
        </w:tabs>
        <w:ind w:left="0" w:hanging="0"/>
        <w:jc w:val="both"/>
        <w:rPr/>
      </w:pPr>
      <w:r>
        <w:rPr/>
        <w:t>Zvláštní sběrné nádoby jsou umístěny v Bílém Újezdě (za obecním úřadem), v Hrošce (u obchodu), v Mastech (u čekárny) a v Roudném (u váhy).</w:t>
      </w:r>
    </w:p>
    <w:p>
      <w:pPr>
        <w:pStyle w:val="Normal"/>
        <w:jc w:val="both"/>
        <w:rPr/>
      </w:pPr>
      <w:r>
        <w:rPr/>
      </w:r>
    </w:p>
    <w:p>
      <w:pPr>
        <w:pStyle w:val="NormlnIMP"/>
        <w:numPr>
          <w:ilvl w:val="0"/>
          <w:numId w:val="4"/>
        </w:numPr>
        <w:tabs>
          <w:tab w:val="clear" w:pos="708"/>
          <w:tab w:val="left" w:pos="540" w:leader="none"/>
          <w:tab w:val="left" w:pos="927" w:leader="none"/>
        </w:tabs>
        <w:suppressAutoHyphens w:val="false"/>
        <w:overflowPunct w:val="true"/>
        <w:autoSpaceDE w:val="true"/>
        <w:spacing w:lineRule="auto" w:line="240"/>
        <w:ind w:left="0" w:hanging="0"/>
        <w:textAlignment w:val="auto"/>
        <w:rPr>
          <w:szCs w:val="24"/>
        </w:rPr>
      </w:pPr>
      <w:r>
        <w:rPr>
          <w:szCs w:val="24"/>
        </w:rPr>
        <w:t>Zvláštní sběrné nádoby jsou barevně odlišeny a označeny příslušnými nápisy:</w:t>
      </w:r>
    </w:p>
    <w:p>
      <w:pPr>
        <w:pStyle w:val="Normal"/>
        <w:jc w:val="both"/>
        <w:rPr>
          <w:szCs w:val="24"/>
        </w:rPr>
      </w:pPr>
      <w:r>
        <w:rPr>
          <w:szCs w:val="24"/>
        </w:rPr>
      </w:r>
    </w:p>
    <w:p>
      <w:pPr>
        <w:pStyle w:val="Normal"/>
        <w:ind w:left="786" w:hanging="0"/>
        <w:jc w:val="both"/>
        <w:rPr>
          <w:iCs/>
        </w:rPr>
      </w:pPr>
      <w:r>
        <w:rPr>
          <w:iCs/>
        </w:rPr>
        <w:t>a) papír – barva modrá</w:t>
      </w:r>
    </w:p>
    <w:p>
      <w:pPr>
        <w:pStyle w:val="Normal"/>
        <w:ind w:left="786" w:hanging="0"/>
        <w:jc w:val="both"/>
        <w:rPr>
          <w:iCs/>
          <w:highlight w:val="yellow"/>
        </w:rPr>
      </w:pPr>
      <w:r>
        <w:rPr>
          <w:iCs/>
        </w:rPr>
        <w:t>b) sklo – barva zelená</w:t>
      </w:r>
    </w:p>
    <w:p>
      <w:pPr>
        <w:pStyle w:val="Normal"/>
        <w:ind w:left="786" w:hanging="0"/>
        <w:jc w:val="both"/>
        <w:rPr>
          <w:iCs/>
        </w:rPr>
      </w:pPr>
      <w:r>
        <w:rPr>
          <w:iCs/>
        </w:rPr>
        <w:t>c) plasty, nápojové kartony – barva žlutá</w:t>
      </w:r>
    </w:p>
    <w:p>
      <w:pPr>
        <w:pStyle w:val="Normal"/>
        <w:ind w:left="786" w:hanging="0"/>
        <w:jc w:val="both"/>
        <w:rPr>
          <w:iCs/>
        </w:rPr>
      </w:pPr>
      <w:r>
        <w:rPr>
          <w:iCs/>
        </w:rPr>
        <w:t>d) textil – barva bílá</w:t>
      </w:r>
    </w:p>
    <w:p>
      <w:pPr>
        <w:pStyle w:val="Normal"/>
        <w:jc w:val="both"/>
        <w:rPr>
          <w:iCs/>
        </w:rPr>
      </w:pPr>
      <w:r>
        <w:rPr>
          <w:iCs/>
        </w:rPr>
      </w:r>
    </w:p>
    <w:p>
      <w:pPr>
        <w:pStyle w:val="Normal"/>
        <w:numPr>
          <w:ilvl w:val="0"/>
          <w:numId w:val="4"/>
        </w:numPr>
        <w:tabs>
          <w:tab w:val="clear" w:pos="708"/>
          <w:tab w:val="left" w:pos="540" w:leader="none"/>
          <w:tab w:val="left" w:pos="927" w:leader="none"/>
        </w:tabs>
        <w:ind w:left="0" w:hanging="0"/>
        <w:jc w:val="both"/>
        <w:rPr/>
      </w:pPr>
      <w:r>
        <w:rPr/>
        <w:t>Biologické odpady budou soustřeďovány do kontejnerů umístěných na shromaždištích biologického odpadu.</w:t>
      </w:r>
    </w:p>
    <w:p>
      <w:pPr>
        <w:pStyle w:val="Normal"/>
        <w:jc w:val="both"/>
        <w:rPr>
          <w:iCs/>
        </w:rPr>
      </w:pPr>
      <w:r>
        <w:rPr>
          <w:iCs/>
        </w:rPr>
      </w:r>
    </w:p>
    <w:p>
      <w:pPr>
        <w:pStyle w:val="Normal"/>
        <w:spacing w:before="0" w:after="120"/>
        <w:jc w:val="both"/>
        <w:rPr/>
      </w:pPr>
      <w:r>
        <w:rPr/>
        <w:t xml:space="preserve"> </w:t>
      </w:r>
    </w:p>
    <w:p>
      <w:pPr>
        <w:pStyle w:val="Nadpis2"/>
        <w:jc w:val="center"/>
        <w:rPr>
          <w:b/>
          <w:b/>
          <w:bCs/>
          <w:u w:val="none"/>
        </w:rPr>
      </w:pPr>
      <w:r>
        <w:rPr>
          <w:b/>
          <w:bCs/>
          <w:u w:val="none"/>
        </w:rPr>
        <w:t>Čl. 4</w:t>
      </w:r>
    </w:p>
    <w:p>
      <w:pPr>
        <w:pStyle w:val="Nadpis2"/>
        <w:jc w:val="center"/>
        <w:rPr>
          <w:b/>
          <w:b/>
          <w:bCs/>
          <w:u w:val="none"/>
        </w:rPr>
      </w:pPr>
      <w:r>
        <w:rPr>
          <w:b/>
          <w:bCs/>
          <w:u w:val="none"/>
        </w:rPr>
        <w:t>Sběr a svoz nebezpečných složek komunálního odpadu</w:t>
      </w:r>
    </w:p>
    <w:p>
      <w:pPr>
        <w:pStyle w:val="Normal"/>
        <w:ind w:left="360" w:hanging="0"/>
        <w:jc w:val="center"/>
        <w:rPr>
          <w:b/>
          <w:b/>
          <w:bCs/>
          <w:u w:val="none"/>
        </w:rPr>
      </w:pPr>
      <w:r>
        <w:rPr>
          <w:b/>
          <w:bCs/>
          <w:u w:val="none"/>
        </w:rPr>
      </w:r>
    </w:p>
    <w:p>
      <w:pPr>
        <w:pStyle w:val="Normal"/>
        <w:numPr>
          <w:ilvl w:val="0"/>
          <w:numId w:val="6"/>
        </w:numPr>
        <w:tabs>
          <w:tab w:val="clear" w:pos="708"/>
          <w:tab w:val="left" w:pos="540" w:leader="none"/>
        </w:tabs>
        <w:ind w:left="540" w:hanging="540"/>
        <w:jc w:val="both"/>
        <w:rPr/>
      </w:pPr>
      <w:r>
        <w:rPr/>
        <w:t xml:space="preserve">Sběr a svoz nebezpečných složek komunálního odpadů je zajišťován oprávněnou osobou jejich odebíráním na předem vyhlášených přechodných stanovištích přímo do zvláštních sběrných nádob k tomuto sběru určených. Informace o sběru jsou zveřejňovány na úřední desce obecního úřadu, </w:t>
      </w:r>
      <w:r>
        <w:rPr>
          <w:iCs/>
        </w:rPr>
        <w:t>výlepových plochách a v místním rozhlase.</w:t>
      </w:r>
    </w:p>
    <w:p>
      <w:pPr>
        <w:pStyle w:val="Normal"/>
        <w:numPr>
          <w:ilvl w:val="0"/>
          <w:numId w:val="6"/>
        </w:numPr>
        <w:tabs>
          <w:tab w:val="clear" w:pos="708"/>
          <w:tab w:val="left" w:pos="540" w:leader="none"/>
        </w:tabs>
        <w:ind w:left="540" w:hanging="540"/>
        <w:jc w:val="both"/>
        <w:rPr/>
      </w:pPr>
      <w:r>
        <w:rPr/>
        <w:t>V rámci svozu nebezpečných složek komunálního odpadu je zajišťován rovněž sběr a svoz jedlých olejů a tuků.</w:t>
      </w:r>
    </w:p>
    <w:p>
      <w:pPr>
        <w:pStyle w:val="Normal"/>
        <w:tabs>
          <w:tab w:val="clear" w:pos="708"/>
          <w:tab w:val="left" w:pos="540" w:leader="none"/>
        </w:tabs>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
        </w:rPr>
      </w:pPr>
      <w:r>
        <w:rPr>
          <w:b/>
        </w:rPr>
        <w:t>Čl. 5</w:t>
      </w:r>
    </w:p>
    <w:p>
      <w:pPr>
        <w:pStyle w:val="Normal"/>
        <w:jc w:val="center"/>
        <w:rPr>
          <w:b/>
          <w:b/>
        </w:rPr>
      </w:pPr>
      <w:r>
        <w:rPr>
          <w:b/>
        </w:rPr>
        <w:t>Sběr a svoz objemného odpadu</w:t>
      </w:r>
    </w:p>
    <w:p>
      <w:pPr>
        <w:pStyle w:val="Normal"/>
        <w:ind w:left="360" w:hanging="0"/>
        <w:jc w:val="center"/>
        <w:rPr>
          <w:b/>
          <w:b/>
          <w:u w:val="single"/>
        </w:rPr>
      </w:pPr>
      <w:r>
        <w:rPr>
          <w:b/>
          <w:u w:val="single"/>
        </w:rPr>
      </w:r>
    </w:p>
    <w:p>
      <w:pPr>
        <w:pStyle w:val="Normal"/>
        <w:numPr>
          <w:ilvl w:val="0"/>
          <w:numId w:val="3"/>
        </w:numPr>
        <w:tabs>
          <w:tab w:val="clear" w:pos="708"/>
          <w:tab w:val="left" w:pos="540" w:leader="none"/>
        </w:tabs>
        <w:ind w:left="540" w:hanging="540"/>
        <w:jc w:val="both"/>
        <w:rPr/>
      </w:pPr>
      <w:r>
        <w:rPr/>
        <w:t>Objemný odpad je takový odpad, který vzhledem ke svým rozměrům nemůže být umístěn do sběrných nádob (</w:t>
      </w:r>
      <w:r>
        <w:rPr>
          <w:i/>
          <w:iCs/>
        </w:rPr>
        <w:t>např. koberce, matrace, nábytek …</w:t>
      </w:r>
      <w:r>
        <w:rPr/>
        <w:t>).</w:t>
      </w:r>
    </w:p>
    <w:p>
      <w:pPr>
        <w:pStyle w:val="Normal"/>
        <w:jc w:val="both"/>
        <w:rPr/>
      </w:pPr>
      <w:r>
        <w:rPr/>
      </w:r>
    </w:p>
    <w:p>
      <w:pPr>
        <w:pStyle w:val="Normal"/>
        <w:numPr>
          <w:ilvl w:val="0"/>
          <w:numId w:val="3"/>
        </w:numPr>
        <w:tabs>
          <w:tab w:val="clear" w:pos="708"/>
          <w:tab w:val="left" w:pos="540" w:leader="none"/>
        </w:tabs>
        <w:ind w:left="540" w:hanging="540"/>
        <w:jc w:val="both"/>
        <w:rPr/>
      </w:pPr>
      <w:r>
        <w:rPr/>
        <w:t xml:space="preserve">Sběr a svoz objemného odpadu je zajišťován oprávněnou osobou jeho odebíráním na předem vyhlášených přechodných stanovištích přímo do zvláštních sběrných nádob k tomuto účelu určených. Informace o sběru jsou zveřejňovány </w:t>
      </w:r>
      <w:r>
        <w:rPr>
          <w:iCs/>
        </w:rPr>
        <w:t>na úřední desce obecního úřadu, výlepových plochách a v místním rozhlase.</w:t>
      </w:r>
    </w:p>
    <w:p>
      <w:pPr>
        <w:pStyle w:val="Normal"/>
        <w:jc w:val="both"/>
        <w:rPr>
          <w:iCs/>
        </w:rPr>
      </w:pPr>
      <w:r>
        <w:rPr>
          <w:iCs/>
        </w:rPr>
      </w:r>
    </w:p>
    <w:p>
      <w:pPr>
        <w:pStyle w:val="Normal"/>
        <w:jc w:val="center"/>
        <w:rPr>
          <w:b/>
          <w:b/>
        </w:rPr>
      </w:pPr>
      <w:r>
        <w:rPr>
          <w:b/>
        </w:rPr>
      </w:r>
    </w:p>
    <w:p>
      <w:pPr>
        <w:pStyle w:val="Normal"/>
        <w:jc w:val="center"/>
        <w:rPr>
          <w:b/>
          <w:b/>
        </w:rPr>
      </w:pPr>
      <w:r>
        <w:rPr>
          <w:b/>
        </w:rPr>
      </w:r>
    </w:p>
    <w:p>
      <w:pPr>
        <w:pStyle w:val="Normal"/>
        <w:jc w:val="center"/>
        <w:rPr>
          <w:b/>
          <w:b/>
        </w:rPr>
      </w:pPr>
      <w:r>
        <w:rPr>
          <w:b/>
        </w:rPr>
        <w:t>Čl. 6</w:t>
      </w:r>
    </w:p>
    <w:p>
      <w:pPr>
        <w:pStyle w:val="Normal"/>
        <w:jc w:val="center"/>
        <w:rPr/>
      </w:pPr>
      <w:r>
        <w:rPr>
          <w:b/>
        </w:rPr>
        <w:t xml:space="preserve">Soustřeďování směsného komunálního odpadu </w:t>
      </w:r>
    </w:p>
    <w:p>
      <w:pPr>
        <w:pStyle w:val="Normal"/>
        <w:jc w:val="center"/>
        <w:rPr>
          <w:b/>
          <w:b/>
        </w:rPr>
      </w:pPr>
      <w:r>
        <w:rPr>
          <w:b/>
        </w:rPr>
      </w:r>
    </w:p>
    <w:p>
      <w:pPr>
        <w:pStyle w:val="Normal"/>
        <w:numPr>
          <w:ilvl w:val="0"/>
          <w:numId w:val="2"/>
        </w:numPr>
        <w:tabs>
          <w:tab w:val="clear" w:pos="708"/>
          <w:tab w:val="left" w:pos="-540" w:leader="none"/>
        </w:tabs>
        <w:ind w:left="540" w:hanging="540"/>
        <w:jc w:val="both"/>
        <w:rPr/>
      </w:pPr>
      <w:r>
        <w:rPr/>
        <w:t>Směsný komunální odpad se soustřeďuje do sběrných nádob. Pro účely této vyhlášky sběrnými nádobami jsou:</w:t>
      </w:r>
    </w:p>
    <w:p>
      <w:pPr>
        <w:pStyle w:val="Normal"/>
        <w:ind w:left="540" w:hanging="0"/>
        <w:jc w:val="both"/>
        <w:rPr/>
      </w:pPr>
      <w:r>
        <w:rPr/>
      </w:r>
    </w:p>
    <w:p>
      <w:pPr>
        <w:pStyle w:val="Normal"/>
        <w:numPr>
          <w:ilvl w:val="0"/>
          <w:numId w:val="7"/>
        </w:numPr>
        <w:tabs>
          <w:tab w:val="clear" w:pos="708"/>
          <w:tab w:val="left" w:pos="540" w:leader="none"/>
        </w:tabs>
        <w:ind w:left="540" w:hanging="540"/>
        <w:jc w:val="both"/>
        <w:rPr/>
      </w:pPr>
      <w:r>
        <w:rPr>
          <w:b/>
          <w:bCs/>
        </w:rPr>
        <w:t>typizované sběrné</w:t>
      </w:r>
      <w:r>
        <w:rPr/>
        <w:t xml:space="preserve"> nádoby jsou </w:t>
      </w:r>
      <w:r>
        <w:rPr>
          <w:iCs/>
        </w:rPr>
        <w:t>popelnice, kontejnery a igelitové pytle,</w:t>
      </w:r>
      <w:r>
        <w:rPr/>
        <w:t xml:space="preserve"> určené ke shromažďování směsného komunálního odpadu,</w:t>
      </w:r>
    </w:p>
    <w:p>
      <w:pPr>
        <w:pStyle w:val="Normal"/>
        <w:numPr>
          <w:ilvl w:val="0"/>
          <w:numId w:val="7"/>
        </w:numPr>
        <w:tabs>
          <w:tab w:val="clear" w:pos="708"/>
          <w:tab w:val="left" w:pos="540" w:leader="none"/>
        </w:tabs>
        <w:ind w:left="540" w:hanging="540"/>
        <w:jc w:val="both"/>
        <w:rPr/>
      </w:pPr>
      <w:r>
        <w:rPr>
          <w:b/>
          <w:bCs/>
        </w:rPr>
        <w:t>odpadkové koše</w:t>
      </w:r>
      <w:r>
        <w:rPr/>
        <w:t>, které jsou umístěny na veřejných prostranstvích v obci, sloužící pro odkládání drobného směsného komunálního odpadu.</w:t>
      </w:r>
    </w:p>
    <w:p>
      <w:pPr>
        <w:pStyle w:val="Normal"/>
        <w:ind w:left="540" w:hanging="0"/>
        <w:jc w:val="both"/>
        <w:rPr/>
      </w:pPr>
      <w:r>
        <w:rPr/>
      </w:r>
    </w:p>
    <w:p>
      <w:pPr>
        <w:pStyle w:val="Normal"/>
        <w:widowControl w:val="false"/>
        <w:numPr>
          <w:ilvl w:val="0"/>
          <w:numId w:val="2"/>
        </w:numPr>
        <w:tabs>
          <w:tab w:val="clear" w:pos="708"/>
          <w:tab w:val="left" w:pos="540" w:leader="none"/>
        </w:tabs>
        <w:ind w:left="540" w:hanging="540"/>
        <w:jc w:val="both"/>
        <w:rPr>
          <w:bCs/>
        </w:rPr>
      </w:pPr>
      <w:r>
        <w:rPr>
          <w:bCs/>
        </w:rPr>
        <w:t xml:space="preserve">Stanoviště sběrných nádob je místo, kde jsou sběrné nádoby trvale nebo přechodně </w:t>
      </w:r>
      <w:r>
        <w:rPr/>
        <w:t>umístěny za účelem odstranění směsného odpadu oprávněnou osobou. Stanoviště sběrných nádob jsou individuální nebo společná pro více uživatelů.</w:t>
      </w:r>
    </w:p>
    <w:p>
      <w:pPr>
        <w:pStyle w:val="Normal"/>
        <w:ind w:left="360" w:hanging="0"/>
        <w:rPr>
          <w:bCs/>
        </w:rPr>
      </w:pPr>
      <w:r>
        <w:rPr>
          <w:bCs/>
        </w:rPr>
      </w:r>
    </w:p>
    <w:p>
      <w:pPr>
        <w:pStyle w:val="Normal"/>
        <w:jc w:val="center"/>
        <w:rPr>
          <w:b/>
          <w:b/>
        </w:rPr>
      </w:pPr>
      <w:r>
        <w:rPr>
          <w:b/>
        </w:rPr>
      </w:r>
    </w:p>
    <w:p>
      <w:pPr>
        <w:pStyle w:val="Normal"/>
        <w:jc w:val="center"/>
        <w:rPr>
          <w:b/>
          <w:b/>
        </w:rPr>
      </w:pPr>
      <w:r>
        <w:rPr>
          <w:b/>
        </w:rPr>
        <w:t>Čl. 7</w:t>
      </w:r>
    </w:p>
    <w:p>
      <w:pPr>
        <w:pStyle w:val="Normal"/>
        <w:jc w:val="center"/>
        <w:rPr>
          <w:b/>
          <w:b/>
        </w:rPr>
      </w:pPr>
      <w:r>
        <w:rPr>
          <w:b/>
        </w:rPr>
        <w:t>Nakládání se stavebním odpadem</w:t>
      </w:r>
    </w:p>
    <w:p>
      <w:pPr>
        <w:pStyle w:val="Normal"/>
        <w:ind w:left="360" w:hanging="0"/>
        <w:jc w:val="center"/>
        <w:rPr>
          <w:b/>
          <w:b/>
          <w:u w:val="single"/>
        </w:rPr>
      </w:pPr>
      <w:r>
        <w:rPr>
          <w:b/>
          <w:u w:val="single"/>
        </w:rPr>
      </w:r>
    </w:p>
    <w:p>
      <w:pPr>
        <w:pStyle w:val="Normal"/>
        <w:numPr>
          <w:ilvl w:val="0"/>
          <w:numId w:val="5"/>
        </w:numPr>
        <w:tabs>
          <w:tab w:val="clear" w:pos="708"/>
          <w:tab w:val="left" w:pos="540" w:leader="none"/>
        </w:tabs>
        <w:ind w:left="540" w:hanging="540"/>
        <w:jc w:val="both"/>
        <w:rPr/>
      </w:pPr>
      <w:r>
        <w:rPr/>
        <w:t>Stavební odpad je stavební a demoliční odpad. Stavební odpad není odpadem komunálním.</w:t>
      </w:r>
    </w:p>
    <w:p>
      <w:pPr>
        <w:pStyle w:val="Normal"/>
        <w:jc w:val="both"/>
        <w:rPr/>
      </w:pPr>
      <w:r>
        <w:rPr/>
      </w:r>
    </w:p>
    <w:p>
      <w:pPr>
        <w:pStyle w:val="Normal"/>
        <w:numPr>
          <w:ilvl w:val="0"/>
          <w:numId w:val="5"/>
        </w:numPr>
        <w:tabs>
          <w:tab w:val="clear" w:pos="708"/>
          <w:tab w:val="left" w:pos="540" w:leader="none"/>
        </w:tabs>
        <w:ind w:left="720" w:hanging="720"/>
        <w:jc w:val="both"/>
        <w:rPr/>
      </w:pPr>
      <w:r>
        <w:rPr/>
        <w:t>Stavební odpad lze použít, předat či zlikvidovat zákonem stanoveným způsobem.</w:t>
      </w:r>
    </w:p>
    <w:p>
      <w:pPr>
        <w:pStyle w:val="Normal"/>
        <w:jc w:val="both"/>
        <w:rPr/>
      </w:pPr>
      <w:r>
        <w:rPr/>
      </w:r>
    </w:p>
    <w:p>
      <w:pPr>
        <w:pStyle w:val="Normal"/>
        <w:numPr>
          <w:ilvl w:val="0"/>
          <w:numId w:val="5"/>
        </w:numPr>
        <w:tabs>
          <w:tab w:val="clear" w:pos="708"/>
          <w:tab w:val="left" w:pos="540" w:leader="none"/>
        </w:tabs>
        <w:ind w:left="540" w:hanging="540"/>
        <w:jc w:val="both"/>
        <w:rPr/>
      </w:pPr>
      <w:r>
        <w:rPr/>
        <w:t>Stavební odpad vzniklý při stavební činnosti lze odkládat pouze do velkoobjemových kontejnerů oprávněné osoby, které jsou následně odvezeny na náklady původce tohoto odpadu na řízenou skládku. Tímto se nevylučuje možnost zajistit si odvoz tohoto odpadu a uložení na řízené skládky vlastními prostředky, popřípadě jiným způsobem.</w:t>
      </w:r>
    </w:p>
    <w:p>
      <w:pPr>
        <w:pStyle w:val="Normal"/>
        <w:spacing w:before="0" w:after="120"/>
        <w:ind w:firstLine="708"/>
        <w:jc w:val="both"/>
        <w:rPr/>
      </w:pPr>
      <w:r>
        <w:rPr/>
      </w:r>
    </w:p>
    <w:p>
      <w:pPr>
        <w:pStyle w:val="Normal"/>
        <w:spacing w:before="0" w:after="120"/>
        <w:ind w:firstLine="708"/>
        <w:jc w:val="both"/>
        <w:rPr/>
      </w:pPr>
      <w:r>
        <w:rPr/>
      </w:r>
    </w:p>
    <w:p>
      <w:pPr>
        <w:pStyle w:val="Normal"/>
        <w:spacing w:before="0" w:after="120"/>
        <w:jc w:val="center"/>
        <w:rPr>
          <w:b/>
          <w:b/>
        </w:rPr>
      </w:pPr>
      <w:r>
        <w:rPr>
          <w:b/>
        </w:rPr>
        <w:t>Čl. 8</w:t>
      </w:r>
    </w:p>
    <w:p>
      <w:pPr>
        <w:pStyle w:val="Normal"/>
        <w:spacing w:before="0" w:after="120"/>
        <w:ind w:firstLine="708"/>
        <w:jc w:val="center"/>
        <w:rPr>
          <w:b/>
          <w:b/>
        </w:rPr>
      </w:pPr>
      <w:r>
        <w:rPr>
          <w:b/>
        </w:rPr>
        <w:t>Nakládání s výrobky s ukončenou životností v rámci služby pro výrobce     (zpětný odběr)</w:t>
      </w:r>
    </w:p>
    <w:p>
      <w:pPr>
        <w:pStyle w:val="Normal"/>
        <w:spacing w:before="0" w:after="120"/>
        <w:ind w:firstLine="708"/>
        <w:jc w:val="center"/>
        <w:rPr>
          <w:b/>
          <w:b/>
        </w:rPr>
      </w:pPr>
      <w:r>
        <w:rPr>
          <w:b/>
        </w:rPr>
      </w:r>
    </w:p>
    <w:p>
      <w:pPr>
        <w:pStyle w:val="Normal"/>
        <w:spacing w:before="0" w:after="120"/>
        <w:rPr>
          <w:b/>
          <w:b/>
        </w:rPr>
      </w:pPr>
      <w:r>
        <w:rPr/>
        <w:t>1)     Obec v rámci služby pro výrobce nakládá s těmito výrobky s ukončenou životností:</w:t>
      </w:r>
    </w:p>
    <w:p>
      <w:pPr>
        <w:pStyle w:val="Normal"/>
        <w:spacing w:lineRule="atLeast" w:line="240"/>
        <w:rPr/>
      </w:pPr>
      <w:r>
        <w:rPr/>
        <w:t>a) elektrozařízení</w:t>
      </w:r>
    </w:p>
    <w:p>
      <w:pPr>
        <w:pStyle w:val="Normal"/>
        <w:spacing w:lineRule="atLeast" w:line="240"/>
        <w:rPr/>
      </w:pPr>
      <w:r>
        <w:rPr/>
        <w:t>b) baterie a akumulátory</w:t>
      </w:r>
    </w:p>
    <w:p>
      <w:pPr>
        <w:pStyle w:val="Normal"/>
        <w:spacing w:lineRule="atLeast" w:line="240"/>
        <w:rPr/>
      </w:pPr>
      <w:r>
        <w:rPr/>
        <w:t>c) pneumatiky</w:t>
      </w:r>
    </w:p>
    <w:p>
      <w:pPr>
        <w:pStyle w:val="Normal"/>
        <w:spacing w:lineRule="atLeast" w:line="240"/>
        <w:rPr/>
      </w:pPr>
      <w:r>
        <w:rPr/>
        <w:t>d) žárovky, zářivky</w:t>
      </w:r>
    </w:p>
    <w:p>
      <w:pPr>
        <w:pStyle w:val="Normal"/>
        <w:spacing w:lineRule="atLeast" w:line="240"/>
        <w:rPr/>
      </w:pPr>
      <w:r>
        <w:rPr/>
      </w:r>
    </w:p>
    <w:p>
      <w:pPr>
        <w:pStyle w:val="Normal"/>
        <w:spacing w:lineRule="atLeast" w:line="240"/>
        <w:rPr/>
      </w:pPr>
      <w:r>
        <w:rPr/>
        <w:t>2)     Malé suché monočlánky, baterie a drobná elektrozařízení lze ukládat také do zvláštních označené nádoby umístěné v budově obecního úřadu.</w:t>
      </w:r>
    </w:p>
    <w:p>
      <w:pPr>
        <w:pStyle w:val="Normal"/>
        <w:spacing w:lineRule="atLeast" w:line="240"/>
        <w:jc w:val="center"/>
        <w:rPr>
          <w:b/>
          <w:b/>
          <w:bCs/>
        </w:rPr>
      </w:pPr>
      <w:r>
        <w:rPr>
          <w:b/>
          <w:bCs/>
        </w:rPr>
      </w:r>
    </w:p>
    <w:p>
      <w:pPr>
        <w:pStyle w:val="Normal"/>
        <w:spacing w:lineRule="atLeast" w:line="240"/>
        <w:jc w:val="center"/>
        <w:rPr>
          <w:b/>
          <w:b/>
          <w:bCs/>
        </w:rPr>
      </w:pPr>
      <w:r>
        <w:rPr>
          <w:b/>
          <w:bCs/>
        </w:rPr>
      </w:r>
    </w:p>
    <w:p>
      <w:pPr>
        <w:pStyle w:val="Normal"/>
        <w:spacing w:lineRule="atLeast" w:line="240"/>
        <w:jc w:val="center"/>
        <w:rPr>
          <w:b/>
          <w:b/>
          <w:bCs/>
        </w:rPr>
      </w:pPr>
      <w:r>
        <w:rPr>
          <w:b/>
          <w:bCs/>
        </w:rPr>
        <w:t>Čl. 9</w:t>
      </w:r>
    </w:p>
    <w:p>
      <w:pPr>
        <w:pStyle w:val="Normal"/>
        <w:spacing w:lineRule="atLeast" w:line="240"/>
        <w:jc w:val="center"/>
        <w:rPr/>
      </w:pPr>
      <w:r>
        <w:rPr>
          <w:b/>
          <w:bCs/>
        </w:rPr>
        <w:t>Závěrečná ustanovení</w:t>
      </w:r>
    </w:p>
    <w:p>
      <w:pPr>
        <w:pStyle w:val="Nadpis6"/>
        <w:rPr>
          <w:b w:val="false"/>
          <w:b w:val="false"/>
          <w:bCs w:val="false"/>
          <w:sz w:val="24"/>
          <w:szCs w:val="24"/>
        </w:rPr>
      </w:pPr>
      <w:r>
        <w:rPr>
          <w:b w:val="false"/>
          <w:bCs w:val="false"/>
          <w:sz w:val="24"/>
          <w:szCs w:val="24"/>
        </w:rPr>
      </w:r>
    </w:p>
    <w:p>
      <w:pPr>
        <w:pStyle w:val="Normal"/>
        <w:jc w:val="both"/>
        <w:rPr/>
      </w:pPr>
      <w:r>
        <w:rPr/>
        <w:t>1)    Nabytím účinnosti této vyhlášky se zrušuje obecně závazná vyhláška obce č. 1/2008 ze dne 8. 4. 2008 o stanovení systému shromažďování, sběru, přepravy, třídění, využívání a odstraňování kom. odpadů vznikajících na jejím katastrálním území, včetně systému nakládání se stavebním odpadem</w:t>
      </w:r>
    </w:p>
    <w:p>
      <w:pPr>
        <w:pStyle w:val="Normal"/>
        <w:jc w:val="both"/>
        <w:rPr/>
      </w:pPr>
      <w:r>
        <w:rPr/>
      </w:r>
    </w:p>
    <w:p>
      <w:pPr>
        <w:pStyle w:val="Normal"/>
        <w:jc w:val="both"/>
        <w:rPr/>
      </w:pPr>
      <w:r>
        <w:rPr/>
        <w:t>2)     Tato obecně závazná vyhláška obce nabývá účinnosti dnem 1. 1. 2025.</w:t>
      </w:r>
    </w:p>
    <w:p>
      <w:pPr>
        <w:pStyle w:val="Tlotextu"/>
        <w:tabs>
          <w:tab w:val="clear" w:pos="708"/>
          <w:tab w:val="left" w:pos="993" w:leader="none"/>
          <w:tab w:val="left" w:pos="6946" w:leader="none"/>
        </w:tabs>
        <w:rPr>
          <w:i/>
          <w:i/>
          <w:iCs/>
        </w:rPr>
      </w:pPr>
      <w:r>
        <w:rPr>
          <w:i/>
          <w:iCs/>
        </w:rPr>
      </w:r>
    </w:p>
    <w:p>
      <w:pPr>
        <w:pStyle w:val="Tlotextu"/>
        <w:tabs>
          <w:tab w:val="clear" w:pos="708"/>
          <w:tab w:val="left" w:pos="993" w:leader="none"/>
          <w:tab w:val="left" w:pos="6946" w:leader="none"/>
        </w:tabs>
        <w:rPr>
          <w:i/>
          <w:i/>
          <w:iCs/>
        </w:rPr>
      </w:pPr>
      <w:r>
        <w:rPr>
          <w:i/>
          <w:iCs/>
        </w:rPr>
      </w:r>
    </w:p>
    <w:p>
      <w:pPr>
        <w:pStyle w:val="Tlotextu"/>
        <w:tabs>
          <w:tab w:val="clear" w:pos="708"/>
          <w:tab w:val="left" w:pos="993" w:leader="none"/>
          <w:tab w:val="left" w:pos="6946" w:leader="none"/>
        </w:tabs>
        <w:rPr>
          <w:i/>
          <w:i/>
          <w:iCs/>
        </w:rPr>
      </w:pPr>
      <w:r>
        <w:rPr>
          <w:i/>
          <w:iCs/>
        </w:rPr>
      </w:r>
    </w:p>
    <w:p>
      <w:pPr>
        <w:pStyle w:val="Tlotextu"/>
        <w:tabs>
          <w:tab w:val="clear" w:pos="708"/>
          <w:tab w:val="left" w:pos="284" w:leader="none"/>
          <w:tab w:val="left" w:pos="6120" w:leader="none"/>
        </w:tabs>
        <w:rPr/>
      </w:pPr>
      <w:r>
        <w:rPr/>
        <w:t>…</w:t>
      </w:r>
      <w:r>
        <w:rPr/>
        <w:t xml:space="preserve">..……………………. </w:t>
        <w:tab/>
        <w:t>……………………….</w:t>
      </w:r>
    </w:p>
    <w:p>
      <w:pPr>
        <w:pStyle w:val="Tlotextu"/>
        <w:tabs>
          <w:tab w:val="clear" w:pos="708"/>
          <w:tab w:val="left" w:pos="567" w:leader="none"/>
          <w:tab w:val="left" w:pos="6480" w:leader="none"/>
        </w:tabs>
        <w:rPr/>
      </w:pPr>
      <w:r>
        <w:rPr/>
        <w:t xml:space="preserve">    </w:t>
      </w:r>
      <w:r>
        <w:rPr/>
        <w:t>Mgr. Michal Friček</w:t>
        <w:tab/>
        <w:t>Jindřich Kubíček</w:t>
      </w:r>
    </w:p>
    <w:p>
      <w:pPr>
        <w:pStyle w:val="Tlotextu"/>
        <w:tabs>
          <w:tab w:val="clear" w:pos="708"/>
          <w:tab w:val="left" w:pos="709" w:leader="none"/>
          <w:tab w:val="left" w:pos="6946" w:leader="none"/>
        </w:tabs>
        <w:spacing w:before="0" w:after="120"/>
        <w:jc w:val="both"/>
        <w:rPr/>
      </w:pPr>
      <w:r>
        <w:rPr/>
        <w:tab/>
        <w:t xml:space="preserve"> starosta                                                                                      místostarosta</w:t>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rPr/>
      </w:pPr>
      <w:r>
        <w:rPr>
          <w:rStyle w:val="Znakypropoznmkupodarou"/>
        </w:rPr>
        <w:footnoteRef/>
      </w:r>
      <w:r>
        <w:rPr/>
        <w:t xml:space="preserve"> </w:t>
      </w:r>
      <w:r>
        <w:rPr/>
        <w:t>§ 61 zákona o odpadech</w:t>
      </w:r>
    </w:p>
  </w:footnote>
  <w:footnote w:id="3">
    <w:p>
      <w:pPr>
        <w:pStyle w:val="Poznmkapodarou"/>
        <w:rPr/>
      </w:pPr>
      <w:r>
        <w:rPr>
          <w:rStyle w:val="Znakypropoznmkupodarou"/>
        </w:rPr>
        <w:footnoteRef/>
      </w:r>
      <w:r>
        <w:rPr/>
        <w:t xml:space="preserve"> </w:t>
      </w:r>
      <w:r>
        <w:rPr/>
        <w:t>§ 60 zákona o odpadech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Nadpis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Nadpis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bCs/>
      </w:rPr>
    </w:lvl>
  </w:abstractNum>
  <w:abstractNum w:abstractNumId="3">
    <w:lvl w:ilvl="0">
      <w:start w:val="1"/>
      <w:numFmt w:val="decimal"/>
      <w:lvlText w:val="%1)"/>
      <w:lvlJc w:val="left"/>
      <w:pPr>
        <w:tabs>
          <w:tab w:val="num" w:pos="720"/>
        </w:tabs>
        <w:ind w:left="720" w:hanging="360"/>
      </w:pPr>
      <w:rPr>
        <w:iCs/>
      </w:rPr>
    </w:lvl>
  </w:abstractNum>
  <w:abstractNum w:abstractNumId="4">
    <w:lvl w:ilvl="0">
      <w:start w:val="1"/>
      <w:numFmt w:val="decimal"/>
      <w:lvlText w:val="%1)"/>
      <w:lvlJc w:val="left"/>
      <w:pPr>
        <w:tabs>
          <w:tab w:val="num" w:pos="720"/>
        </w:tabs>
        <w:ind w:left="720" w:hanging="360"/>
      </w:pPr>
      <w:rPr>
        <w:u w:val="none"/>
        <w:b w:val="false"/>
        <w:bCs/>
      </w:rPr>
    </w:lvl>
  </w:abstractNum>
  <w:abstractNum w:abstractNumId="5">
    <w:lvl w:ilvl="0">
      <w:start w:val="1"/>
      <w:numFmt w:val="decimal"/>
      <w:lvlText w:val="%1)"/>
      <w:lvlJc w:val="left"/>
      <w:pPr>
        <w:tabs>
          <w:tab w:val="num" w:pos="708"/>
        </w:tabs>
        <w:ind w:left="720" w:hanging="360"/>
      </w:pPr>
      <w:rPr/>
    </w:lvl>
  </w:abstractNum>
  <w:abstractNum w:abstractNumId="6">
    <w:lvl w:ilvl="0">
      <w:start w:val="1"/>
      <w:numFmt w:val="decimal"/>
      <w:lvlText w:val="%1)"/>
      <w:lvlJc w:val="left"/>
      <w:pPr>
        <w:tabs>
          <w:tab w:val="num" w:pos="720"/>
        </w:tabs>
        <w:ind w:left="720" w:hanging="360"/>
      </w:pPr>
      <w:rPr>
        <w:iCs/>
      </w:rPr>
    </w:lvl>
  </w:abstractNum>
  <w:abstractNum w:abstractNumId="7">
    <w:lvl w:ilvl="0">
      <w:start w:val="1"/>
      <w:numFmt w:val="lowerLetter"/>
      <w:lvlText w:val="%1)"/>
      <w:lvlJc w:val="left"/>
      <w:pPr>
        <w:tabs>
          <w:tab w:val="num" w:pos="360"/>
        </w:tabs>
        <w:ind w:lef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cs-CZ"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cs-CZ" w:bidi="ar-SA" w:eastAsia="zh-CN"/>
    </w:rPr>
  </w:style>
  <w:style w:type="paragraph" w:styleId="Nadpis2">
    <w:name w:val="Heading 2"/>
    <w:basedOn w:val="Normal"/>
    <w:next w:val="Normal"/>
    <w:qFormat/>
    <w:pPr>
      <w:keepNext w:val="true"/>
      <w:numPr>
        <w:ilvl w:val="1"/>
        <w:numId w:val="1"/>
      </w:numPr>
      <w:jc w:val="both"/>
      <w:outlineLvl w:val="1"/>
    </w:pPr>
    <w:rPr>
      <w:szCs w:val="20"/>
      <w:u w:val="single"/>
    </w:rPr>
  </w:style>
  <w:style w:type="paragraph" w:styleId="Nadpis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C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iC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eastAsia="Times New Roman" w:cs="Times New Roman"/>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bCs/>
      <w:u w:val="none"/>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iCs/>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Standardnpsmoodstavce">
    <w:name w:val="Standardní písmo odstavce"/>
    <w:qFormat/>
    <w:rPr/>
  </w:style>
  <w:style w:type="character" w:styleId="Znakypropoznmkupodarou">
    <w:name w:val="Znaky pro poznámku pod čarou"/>
    <w:qFormat/>
    <w:rPr>
      <w:vertAlign w:val="superscript"/>
    </w:rPr>
  </w:style>
  <w:style w:type="character" w:styleId="Styl31">
    <w:name w:val="styl31"/>
    <w:qFormat/>
    <w:rPr>
      <w:b/>
      <w:bCs/>
      <w:color w:val="000080"/>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before="0" w:after="120"/>
    </w:pPr>
    <w:rPr>
      <w:szCs w:val="20"/>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pPr>
      <w:ind w:left="708" w:firstLine="357"/>
      <w:jc w:val="both"/>
    </w:pPr>
    <w:rPr>
      <w:szCs w:val="20"/>
    </w:rPr>
  </w:style>
  <w:style w:type="paragraph" w:styleId="Zkladntextodsazen2">
    <w:name w:val="Základní text odsazený 2"/>
    <w:basedOn w:val="Normal"/>
    <w:qFormat/>
    <w:pPr>
      <w:ind w:left="708" w:firstLine="360"/>
      <w:jc w:val="both"/>
    </w:pPr>
    <w:rPr>
      <w:bCs/>
      <w:szCs w:val="20"/>
    </w:rPr>
  </w:style>
  <w:style w:type="paragraph" w:styleId="Zhlav">
    <w:name w:val="Header"/>
    <w:basedOn w:val="Normal"/>
    <w:pPr>
      <w:tabs>
        <w:tab w:val="clear" w:pos="708"/>
        <w:tab w:val="center" w:pos="4536" w:leader="none"/>
        <w:tab w:val="right" w:pos="9072" w:leader="none"/>
      </w:tabs>
    </w:pPr>
    <w:rPr>
      <w:szCs w:val="20"/>
    </w:rPr>
  </w:style>
  <w:style w:type="paragraph" w:styleId="Poznmkapodarou">
    <w:name w:val="Footnote Text"/>
    <w:basedOn w:val="Normal"/>
    <w:pPr/>
    <w:rPr>
      <w:sz w:val="20"/>
      <w:szCs w:val="20"/>
      <w:lang w:val="cs-CZ" w:eastAsia="cs-CZ"/>
    </w:rPr>
  </w:style>
  <w:style w:type="paragraph" w:styleId="NormlnIMP">
    <w:name w:val="Normální_IMP"/>
    <w:basedOn w:val="Normal"/>
    <w:qFormat/>
    <w:pPr>
      <w:suppressAutoHyphens w:val="true"/>
      <w:overflowPunct w:val="false"/>
      <w:autoSpaceDE w:val="false"/>
      <w:spacing w:lineRule="auto" w:line="228"/>
      <w:jc w:val="both"/>
      <w:textAlignment w:val="baseline"/>
    </w:pPr>
    <w:rPr>
      <w:szCs w:val="20"/>
    </w:rPr>
  </w:style>
  <w:style w:type="paragraph" w:styleId="Zkladntextodsazen3">
    <w:name w:val="Základní text odsazený 3"/>
    <w:basedOn w:val="Normal"/>
    <w:qFormat/>
    <w:pPr>
      <w:widowControl w:val="false"/>
      <w:tabs>
        <w:tab w:val="clear" w:pos="708"/>
        <w:tab w:val="left" w:pos="540" w:leader="none"/>
      </w:tabs>
      <w:ind w:left="540" w:hanging="540"/>
      <w:jc w:val="both"/>
    </w:pPr>
    <w:rPr>
      <w:bCs/>
    </w:rPr>
  </w:style>
  <w:style w:type="paragraph" w:styleId="Textparagrafu">
    <w:name w:val="Text paragrafu"/>
    <w:basedOn w:val="Normal"/>
    <w:qFormat/>
    <w:pPr>
      <w:autoSpaceDE w:val="false"/>
      <w:spacing w:before="240" w:after="0"/>
      <w:ind w:firstLine="425"/>
      <w:jc w:val="both"/>
    </w:pPr>
    <w:rPr/>
  </w:style>
  <w:style w:type="paragraph" w:styleId="Normlnweb">
    <w:name w:val="Normální (web)"/>
    <w:basedOn w:val="Normal"/>
    <w:qFormat/>
    <w:pPr>
      <w:spacing w:before="280" w:after="28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16</TotalTime>
  <Application>LibreOffice/6.1.3.2$Windows_X86_64 LibreOffice_project/86daf60bf00efa86ad547e59e09d6bb77c699acb</Application>
  <Pages>6</Pages>
  <Words>791</Words>
  <Characters>4502</Characters>
  <CharactersWithSpaces>5326</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2024-12-12T10:37:00Z</dcterms:created>
  <dc:creator>111</dc:creator>
  <dc:description/>
  <cp:keywords/>
  <dc:language>cs-CZ</dc:language>
  <cp:lastModifiedBy>Michal Friček</cp:lastModifiedBy>
  <cp:lastPrinted>2024-12-12T11:36:00Z</cp:lastPrinted>
  <dcterms:modified xsi:type="dcterms:W3CDTF">2024-12-12T11:36:00Z</dcterms:modified>
  <cp:revision>6</cp:revision>
  <dc:subject/>
  <dc:title>Vzor obecně závazné vyhlášky obce o stanovení systému shromažďování, sběru, přepravy, třídění, využívání a odstraňování komuná</dc:title>
</cp:coreProperties>
</file>