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BBA4F" w14:textId="77777777" w:rsidR="00E421C1" w:rsidRPr="00E421C1" w:rsidRDefault="00E421C1" w:rsidP="00E421C1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Pr="00E421C1">
        <w:rPr>
          <w:rFonts w:ascii="Arial" w:hAnsi="Arial" w:cs="Arial"/>
          <w:b/>
          <w:sz w:val="28"/>
          <w:szCs w:val="28"/>
        </w:rPr>
        <w:t>Luštěnice</w:t>
      </w:r>
    </w:p>
    <w:p w14:paraId="7FC74216" w14:textId="77777777" w:rsidR="00E421C1" w:rsidRDefault="00E421C1" w:rsidP="00E421C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Luštěnice</w:t>
      </w:r>
    </w:p>
    <w:p w14:paraId="1A3F3A95" w14:textId="77777777" w:rsidR="00E421C1" w:rsidRDefault="00E421C1" w:rsidP="00E421C1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Obecně závazná vyhláška obce Luštěnice,</w:t>
      </w:r>
    </w:p>
    <w:p w14:paraId="3D017714" w14:textId="6DD1793D" w:rsidR="00E421C1" w:rsidRDefault="002F02A7" w:rsidP="00E421C1">
      <w:pPr>
        <w:spacing w:after="120"/>
        <w:jc w:val="center"/>
        <w:rPr>
          <w:rFonts w:ascii="Arial" w:hAnsi="Arial" w:cs="Arial"/>
          <w:b/>
        </w:rPr>
      </w:pPr>
      <w:r w:rsidRPr="002F02A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stanovení</w:t>
      </w:r>
      <w:r w:rsidRPr="002F02A7">
        <w:rPr>
          <w:rFonts w:ascii="Arial" w:hAnsi="Arial" w:cs="Arial"/>
          <w:b/>
        </w:rPr>
        <w:t xml:space="preserve"> </w:t>
      </w:r>
      <w:r w:rsidR="00142E27">
        <w:rPr>
          <w:rFonts w:ascii="Arial" w:hAnsi="Arial" w:cs="Arial"/>
          <w:b/>
        </w:rPr>
        <w:t xml:space="preserve">místního </w:t>
      </w:r>
      <w:r w:rsidRPr="002F02A7">
        <w:rPr>
          <w:rFonts w:ascii="Arial" w:hAnsi="Arial" w:cs="Arial"/>
          <w:b/>
        </w:rPr>
        <w:t xml:space="preserve">koeficientu pro </w:t>
      </w:r>
      <w:r w:rsidR="00142E27">
        <w:rPr>
          <w:rFonts w:ascii="Arial" w:hAnsi="Arial" w:cs="Arial"/>
          <w:b/>
        </w:rPr>
        <w:t>jednotlivé skupiny nemovitých věcí</w:t>
      </w:r>
    </w:p>
    <w:p w14:paraId="7C421B25" w14:textId="77777777" w:rsidR="00E421C1" w:rsidRDefault="00E421C1" w:rsidP="00E421C1">
      <w:pPr>
        <w:rPr>
          <w:rFonts w:ascii="Arial" w:hAnsi="Arial" w:cs="Arial"/>
          <w:b/>
          <w:sz w:val="22"/>
          <w:szCs w:val="22"/>
          <w:u w:val="single"/>
        </w:rPr>
      </w:pPr>
    </w:p>
    <w:p w14:paraId="0F185554" w14:textId="00C5AD5F" w:rsidR="00E421C1" w:rsidRDefault="00E421C1" w:rsidP="00E421C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Luštěnice se na svém zasedání dne </w:t>
      </w:r>
      <w:proofErr w:type="gramStart"/>
      <w:r w:rsidR="000916CA">
        <w:rPr>
          <w:rFonts w:ascii="Arial" w:hAnsi="Arial" w:cs="Arial"/>
          <w:sz w:val="22"/>
          <w:szCs w:val="22"/>
        </w:rPr>
        <w:t>8.7.2025</w:t>
      </w:r>
      <w:proofErr w:type="gramEnd"/>
      <w:r w:rsidR="00DC26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</w:t>
      </w:r>
      <w:r w:rsidR="00DC26E2">
        <w:rPr>
          <w:rFonts w:ascii="Arial" w:hAnsi="Arial" w:cs="Arial"/>
          <w:sz w:val="22"/>
          <w:szCs w:val="22"/>
        </w:rPr>
        <w:t xml:space="preserve">. </w:t>
      </w:r>
      <w:r w:rsidR="00CE0027">
        <w:rPr>
          <w:rFonts w:ascii="Arial" w:hAnsi="Arial" w:cs="Arial"/>
          <w:sz w:val="22"/>
          <w:szCs w:val="22"/>
        </w:rPr>
        <w:t>505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usneslo vydat na základě </w:t>
      </w:r>
      <w:r w:rsidR="00142E27" w:rsidRPr="00142E27">
        <w:rPr>
          <w:rFonts w:ascii="Arial" w:hAnsi="Arial" w:cs="Arial"/>
          <w:sz w:val="22"/>
          <w:szCs w:val="22"/>
        </w:rPr>
        <w:t>§ 12 odst. 1 písm. a) bodu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14:paraId="6F732B2F" w14:textId="77777777" w:rsidR="00E421C1" w:rsidRDefault="00E421C1" w:rsidP="00E421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0269C00" w14:textId="77777777" w:rsidR="00142E27" w:rsidRPr="00142E27" w:rsidRDefault="00142E27" w:rsidP="00142E27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42E27">
        <w:rPr>
          <w:rFonts w:ascii="Arial" w:hAnsi="Arial" w:cs="Arial"/>
          <w:b/>
          <w:sz w:val="28"/>
          <w:szCs w:val="28"/>
        </w:rPr>
        <w:t>Místní koeficient pro jednotlivé skupiny nemovitých věcí</w:t>
      </w:r>
    </w:p>
    <w:p w14:paraId="6F8E6C40" w14:textId="77777777" w:rsidR="000931AF" w:rsidRDefault="000931AF" w:rsidP="000A7213">
      <w:pPr>
        <w:jc w:val="center"/>
        <w:rPr>
          <w:rFonts w:ascii="Arial" w:hAnsi="Arial" w:cs="Arial"/>
          <w:b/>
          <w:sz w:val="22"/>
          <w:szCs w:val="22"/>
        </w:rPr>
      </w:pPr>
    </w:p>
    <w:p w14:paraId="19046D11" w14:textId="7D08B31E" w:rsidR="00142E27" w:rsidRPr="00142E27" w:rsidRDefault="00142E27" w:rsidP="00142E27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142E27">
        <w:rPr>
          <w:rFonts w:ascii="Arial" w:hAnsi="Arial" w:cs="Arial"/>
          <w:b/>
          <w:bCs/>
          <w:sz w:val="22"/>
          <w:szCs w:val="22"/>
        </w:rPr>
        <w:t xml:space="preserve">Obec Luštěnice stanovuje místní koeficient pro jednotlivé skupiny pozemků dle § 5a odst. 1 zákona o dani z nemovitých věcí, a to v následující výši: </w:t>
      </w:r>
    </w:p>
    <w:p w14:paraId="16625244" w14:textId="1D57F232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Hlk159331772"/>
      <w:bookmarkStart w:id="2" w:name="_Hlk159331753"/>
      <w:r w:rsidRPr="00142E27">
        <w:rPr>
          <w:rFonts w:ascii="Arial" w:hAnsi="Arial" w:cs="Arial"/>
          <w:sz w:val="22"/>
          <w:szCs w:val="22"/>
        </w:rPr>
        <w:t xml:space="preserve">vybrané zemědělské pozemky 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</w:t>
      </w:r>
      <w:r w:rsidR="00656DD6">
        <w:rPr>
          <w:rFonts w:ascii="Arial" w:hAnsi="Arial" w:cs="Arial"/>
          <w:sz w:val="22"/>
          <w:szCs w:val="22"/>
        </w:rPr>
        <w:tab/>
      </w:r>
      <w:r w:rsidR="00AE49C6">
        <w:rPr>
          <w:rFonts w:ascii="Arial" w:hAnsi="Arial" w:cs="Arial"/>
          <w:b/>
          <w:bCs/>
          <w:sz w:val="22"/>
          <w:szCs w:val="22"/>
        </w:rPr>
        <w:t>1</w:t>
      </w:r>
      <w:r w:rsidR="00656DD6" w:rsidRPr="00656DD6">
        <w:rPr>
          <w:rFonts w:ascii="Arial" w:hAnsi="Arial" w:cs="Arial"/>
          <w:b/>
          <w:bCs/>
          <w:sz w:val="22"/>
          <w:szCs w:val="22"/>
        </w:rPr>
        <w:t>,5</w:t>
      </w:r>
      <w:r w:rsidRPr="00142E27">
        <w:rPr>
          <w:rFonts w:ascii="Arial" w:hAnsi="Arial" w:cs="Arial"/>
          <w:sz w:val="22"/>
          <w:szCs w:val="22"/>
        </w:rPr>
        <w:t xml:space="preserve"> 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1,5),</w:t>
      </w:r>
    </w:p>
    <w:p w14:paraId="54FAC255" w14:textId="51F31FE9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trvalé travní porosty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1,5</w:t>
      </w:r>
      <w:r w:rsidRPr="00142E27">
        <w:rPr>
          <w:rFonts w:ascii="Arial" w:hAnsi="Arial" w:cs="Arial"/>
          <w:sz w:val="22"/>
          <w:szCs w:val="22"/>
        </w:rPr>
        <w:t xml:space="preserve"> 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1,5),</w:t>
      </w:r>
    </w:p>
    <w:bookmarkEnd w:id="1"/>
    <w:p w14:paraId="32FE2998" w14:textId="771C0CE0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lesní pozemky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2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5B8E8994" w14:textId="0A26E869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zemědělské zpevněné plochy pozemku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>koeficient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1,5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0640D90C" w14:textId="11AEC184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ostatní zpevněné plochy pozemku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1,5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00D35284" w14:textId="78428F5C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stavební pozemky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2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46114B6C" w14:textId="2C82B548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nevyužitelné ostatní plochy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>koeficient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1</w:t>
      </w:r>
      <w:r w:rsidR="00656DD6">
        <w:rPr>
          <w:rFonts w:ascii="Arial" w:hAnsi="Arial" w:cs="Arial"/>
          <w:b/>
          <w:bCs/>
          <w:sz w:val="22"/>
          <w:szCs w:val="22"/>
        </w:rPr>
        <w:t>,5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1,5),</w:t>
      </w:r>
    </w:p>
    <w:p w14:paraId="2087544A" w14:textId="2D71648C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jiné plochy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2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02B968F6" w14:textId="722B1D15" w:rsidR="00142E27" w:rsidRP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vybrané ostatní plochy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>2</w:t>
      </w:r>
      <w:r w:rsidR="00656DD6">
        <w:rPr>
          <w:rFonts w:ascii="Arial" w:hAnsi="Arial" w:cs="Arial"/>
          <w:sz w:val="22"/>
          <w:szCs w:val="22"/>
        </w:rPr>
        <w:t xml:space="preserve"> 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1DFC632F" w14:textId="7B07A0BE" w:rsidR="00142E27" w:rsidRDefault="00142E27" w:rsidP="00142E27">
      <w:pPr>
        <w:pStyle w:val="Odstavecseseznamem"/>
        <w:numPr>
          <w:ilvl w:val="0"/>
          <w:numId w:val="7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zastavěné plochy a nádvoří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>koeficient</w:t>
      </w:r>
      <w:r w:rsidR="00656DD6">
        <w:rPr>
          <w:rFonts w:ascii="Arial" w:hAnsi="Arial" w:cs="Arial"/>
          <w:sz w:val="22"/>
          <w:szCs w:val="22"/>
        </w:rPr>
        <w:tab/>
      </w:r>
      <w:r w:rsidR="00656DD6" w:rsidRPr="00656DD6">
        <w:rPr>
          <w:rFonts w:ascii="Arial" w:hAnsi="Arial" w:cs="Arial"/>
          <w:b/>
          <w:bCs/>
          <w:sz w:val="22"/>
          <w:szCs w:val="22"/>
        </w:rPr>
        <w:t xml:space="preserve">2 </w:t>
      </w:r>
      <w:r w:rsidR="00656DD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5,0).</w:t>
      </w:r>
    </w:p>
    <w:p w14:paraId="694E7D69" w14:textId="77777777" w:rsidR="00142E27" w:rsidRPr="00142E27" w:rsidRDefault="00142E27" w:rsidP="00142E27">
      <w:pPr>
        <w:pStyle w:val="Odstavecseseznamem"/>
        <w:tabs>
          <w:tab w:val="left" w:pos="1134"/>
        </w:tabs>
        <w:spacing w:after="120" w:line="276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</w:p>
    <w:bookmarkEnd w:id="2"/>
    <w:p w14:paraId="7675D64B" w14:textId="77777777" w:rsidR="00142E27" w:rsidRPr="00142E27" w:rsidRDefault="00142E27" w:rsidP="00142E27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142E27">
        <w:rPr>
          <w:rFonts w:ascii="Arial" w:hAnsi="Arial" w:cs="Arial"/>
          <w:b/>
          <w:bCs/>
          <w:sz w:val="22"/>
          <w:szCs w:val="22"/>
        </w:rPr>
        <w:t xml:space="preserve">Obec (město, městys) stanovuje místní koeficient pro jednotlivé skupiny staveb a jednotek dle § 10a odst. 1 zákona o dani z nemovitých věcí, a to v následující výši: </w:t>
      </w:r>
    </w:p>
    <w:p w14:paraId="21AAF262" w14:textId="6EAE8B70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obytné budovy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</w:t>
      </w:r>
      <w:r w:rsidR="00AE49C6">
        <w:rPr>
          <w:rFonts w:ascii="Arial" w:hAnsi="Arial" w:cs="Arial"/>
          <w:sz w:val="22"/>
          <w:szCs w:val="22"/>
        </w:rPr>
        <w:tab/>
      </w:r>
      <w:r w:rsidR="00AE49C6" w:rsidRPr="00AE49C6">
        <w:rPr>
          <w:rFonts w:ascii="Arial" w:hAnsi="Arial" w:cs="Arial"/>
          <w:b/>
          <w:bCs/>
          <w:sz w:val="22"/>
          <w:szCs w:val="22"/>
        </w:rPr>
        <w:t>2</w:t>
      </w:r>
      <w:r w:rsidRPr="00142E27">
        <w:rPr>
          <w:rFonts w:ascii="Arial" w:hAnsi="Arial" w:cs="Arial"/>
          <w:sz w:val="22"/>
          <w:szCs w:val="22"/>
        </w:rPr>
        <w:t xml:space="preserve"> 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36216C40" w14:textId="39282F9D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rekreační budovy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AE49C6" w:rsidRPr="00AE49C6">
        <w:rPr>
          <w:rFonts w:ascii="Arial" w:hAnsi="Arial" w:cs="Arial"/>
          <w:b/>
          <w:bCs/>
          <w:sz w:val="22"/>
          <w:szCs w:val="22"/>
        </w:rPr>
        <w:tab/>
        <w:t>3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3B429423" w14:textId="55B7717A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garáže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AE49C6">
        <w:rPr>
          <w:rFonts w:ascii="Arial" w:hAnsi="Arial" w:cs="Arial"/>
          <w:sz w:val="22"/>
          <w:szCs w:val="22"/>
        </w:rPr>
        <w:tab/>
      </w:r>
      <w:r w:rsidR="00AE49C6" w:rsidRPr="00AE49C6">
        <w:rPr>
          <w:rFonts w:ascii="Arial" w:hAnsi="Arial" w:cs="Arial"/>
          <w:b/>
          <w:bCs/>
          <w:sz w:val="22"/>
          <w:szCs w:val="22"/>
        </w:rPr>
        <w:t>3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0439E819" w14:textId="77777777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zdanitelné stavby a zdanitelné jednotky pro</w:t>
      </w:r>
    </w:p>
    <w:p w14:paraId="3C89B158" w14:textId="77777777" w:rsidR="00142E27" w:rsidRPr="00142E27" w:rsidRDefault="00142E27" w:rsidP="00142E2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podnikání v zemědělské prvovýrobě, lesním</w:t>
      </w:r>
    </w:p>
    <w:p w14:paraId="09654188" w14:textId="233355E9" w:rsidR="00142E27" w:rsidRPr="00142E27" w:rsidRDefault="00142E27" w:rsidP="00142E2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nebo vodním hospodářství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AE49C6">
        <w:rPr>
          <w:rFonts w:ascii="Arial" w:hAnsi="Arial" w:cs="Arial"/>
          <w:sz w:val="22"/>
          <w:szCs w:val="22"/>
        </w:rPr>
        <w:tab/>
      </w:r>
      <w:r w:rsidR="00AE49C6" w:rsidRPr="00AE49C6">
        <w:rPr>
          <w:rFonts w:ascii="Arial" w:hAnsi="Arial" w:cs="Arial"/>
          <w:b/>
          <w:bCs/>
          <w:sz w:val="22"/>
          <w:szCs w:val="22"/>
        </w:rPr>
        <w:t>2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0C8FB99A" w14:textId="77777777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31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zdanitelné stavby a zdanitelné jednotky pro</w:t>
      </w:r>
    </w:p>
    <w:p w14:paraId="00D00F75" w14:textId="77777777" w:rsidR="00142E27" w:rsidRPr="00142E27" w:rsidRDefault="00142E27" w:rsidP="00142E2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podnikání v průmyslu, stavebnictví, dopravě,</w:t>
      </w:r>
    </w:p>
    <w:p w14:paraId="48EDAC0F" w14:textId="0373A184" w:rsidR="00142E27" w:rsidRPr="00142E27" w:rsidRDefault="00142E27" w:rsidP="00142E2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energetice nebo ostatní zemědělské výrobě</w:t>
      </w:r>
      <w:r w:rsidRPr="00142E27">
        <w:rPr>
          <w:rFonts w:ascii="Arial" w:hAnsi="Arial" w:cs="Arial"/>
          <w:sz w:val="22"/>
          <w:szCs w:val="22"/>
        </w:rPr>
        <w:tab/>
        <w:t xml:space="preserve">koeficient </w:t>
      </w:r>
      <w:r w:rsidR="00AE49C6">
        <w:rPr>
          <w:rFonts w:ascii="Arial" w:hAnsi="Arial" w:cs="Arial"/>
          <w:sz w:val="22"/>
          <w:szCs w:val="22"/>
        </w:rPr>
        <w:tab/>
      </w:r>
      <w:r w:rsidR="00AE49C6" w:rsidRPr="00AE49C6">
        <w:rPr>
          <w:rFonts w:ascii="Arial" w:hAnsi="Arial" w:cs="Arial"/>
          <w:b/>
          <w:bCs/>
          <w:sz w:val="22"/>
          <w:szCs w:val="22"/>
        </w:rPr>
        <w:t>3</w:t>
      </w:r>
      <w:r w:rsidRPr="00AE49C6">
        <w:rPr>
          <w:rFonts w:ascii="Arial" w:hAnsi="Arial" w:cs="Arial"/>
          <w:b/>
          <w:bCs/>
          <w:sz w:val="22"/>
          <w:szCs w:val="22"/>
        </w:rPr>
        <w:t xml:space="preserve"> 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60EE89E6" w14:textId="77777777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31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zdanitelné stavby a zdanitelné jednotky pro</w:t>
      </w:r>
    </w:p>
    <w:p w14:paraId="3A2D28AD" w14:textId="0607FE94" w:rsidR="00142E27" w:rsidRPr="00142E27" w:rsidRDefault="00142E27" w:rsidP="00142E2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ostatní druhy podnikání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AE49C6">
        <w:rPr>
          <w:rFonts w:ascii="Arial" w:hAnsi="Arial" w:cs="Arial"/>
          <w:sz w:val="22"/>
          <w:szCs w:val="22"/>
        </w:rPr>
        <w:tab/>
      </w:r>
      <w:r w:rsidR="00AE49C6" w:rsidRPr="00AE49C6">
        <w:rPr>
          <w:rFonts w:ascii="Arial" w:hAnsi="Arial" w:cs="Arial"/>
          <w:b/>
          <w:bCs/>
          <w:sz w:val="22"/>
          <w:szCs w:val="22"/>
        </w:rPr>
        <w:t>3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717E52CE" w14:textId="7BBE1B06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ostatní zdanitelné stavby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</w:t>
      </w:r>
      <w:r w:rsidR="00AE49C6">
        <w:rPr>
          <w:rFonts w:ascii="Arial" w:hAnsi="Arial" w:cs="Arial"/>
          <w:sz w:val="22"/>
          <w:szCs w:val="22"/>
        </w:rPr>
        <w:tab/>
      </w:r>
      <w:r w:rsidR="00AE49C6" w:rsidRPr="00AE49C6">
        <w:rPr>
          <w:rFonts w:ascii="Arial" w:hAnsi="Arial" w:cs="Arial"/>
          <w:b/>
          <w:bCs/>
          <w:sz w:val="22"/>
          <w:szCs w:val="22"/>
        </w:rPr>
        <w:t>3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5,0),</w:t>
      </w:r>
    </w:p>
    <w:p w14:paraId="163BA080" w14:textId="68646C06" w:rsidR="00142E27" w:rsidRPr="00142E27" w:rsidRDefault="00142E27" w:rsidP="00142E27">
      <w:pPr>
        <w:pStyle w:val="Odstavecseseznamem"/>
        <w:numPr>
          <w:ilvl w:val="0"/>
          <w:numId w:val="8"/>
        </w:numPr>
        <w:tabs>
          <w:tab w:val="left" w:pos="1134"/>
        </w:tabs>
        <w:spacing w:after="120"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ostatní zdanitelné jednotky</w:t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ab/>
        <w:t xml:space="preserve">koeficient  </w:t>
      </w:r>
      <w:r w:rsidR="00AE49C6">
        <w:rPr>
          <w:rFonts w:ascii="Arial" w:hAnsi="Arial" w:cs="Arial"/>
          <w:sz w:val="22"/>
          <w:szCs w:val="22"/>
        </w:rPr>
        <w:tab/>
      </w:r>
      <w:r w:rsidR="000916CA">
        <w:rPr>
          <w:rFonts w:ascii="Arial" w:hAnsi="Arial" w:cs="Arial"/>
          <w:b/>
          <w:bCs/>
          <w:sz w:val="22"/>
          <w:szCs w:val="22"/>
        </w:rPr>
        <w:t>2</w:t>
      </w:r>
      <w:r w:rsidR="00AE49C6">
        <w:rPr>
          <w:rFonts w:ascii="Arial" w:hAnsi="Arial" w:cs="Arial"/>
          <w:sz w:val="22"/>
          <w:szCs w:val="22"/>
        </w:rPr>
        <w:tab/>
      </w:r>
      <w:r w:rsidRPr="00142E27">
        <w:rPr>
          <w:rFonts w:ascii="Arial" w:hAnsi="Arial" w:cs="Arial"/>
          <w:sz w:val="22"/>
          <w:szCs w:val="22"/>
        </w:rPr>
        <w:t>(od 0,5 do 5,0).</w:t>
      </w:r>
    </w:p>
    <w:p w14:paraId="08890520" w14:textId="379C9AD3" w:rsidR="00142E27" w:rsidRPr="00142E27" w:rsidRDefault="00142E27" w:rsidP="00142E27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656DD6">
        <w:rPr>
          <w:rFonts w:ascii="Arial" w:hAnsi="Arial" w:cs="Arial"/>
          <w:b/>
          <w:bCs/>
          <w:sz w:val="22"/>
          <w:szCs w:val="22"/>
        </w:rPr>
        <w:lastRenderedPageBreak/>
        <w:t>Místní koeficient pro jednotlivou skupinu nemovitých věcí se vztahuje na všechny nemovité věci dané skupiny nemovitých věcí na území celé obce</w:t>
      </w:r>
      <w:r w:rsidR="00656DD6">
        <w:rPr>
          <w:rFonts w:ascii="Arial" w:hAnsi="Arial" w:cs="Arial"/>
          <w:sz w:val="22"/>
          <w:szCs w:val="22"/>
        </w:rPr>
        <w:t>.</w:t>
      </w:r>
    </w:p>
    <w:p w14:paraId="0B966010" w14:textId="77777777" w:rsidR="00142E27" w:rsidRPr="00142E27" w:rsidRDefault="00142E27" w:rsidP="00142E27">
      <w:pPr>
        <w:keepNext/>
        <w:spacing w:line="276" w:lineRule="auto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Poznámka: Při zavádění místního koeficientu pro jednotlivé skupiny nemovitých věcí si může obec zvolit, pro které z výše uvedených skupin pozemků a skupin staveb a jednotek místní koeficient stanoví. U nemovitých věcí, na které nedopadá žádný obcí stanovený místní koeficient, činí hodnota místního koeficientu ze zákona 1,0 (§ 12 odst. 3 zákona o dani z nemovitých věcí).</w:t>
      </w:r>
    </w:p>
    <w:p w14:paraId="22F00B93" w14:textId="77777777" w:rsidR="00142E27" w:rsidRPr="00142E27" w:rsidRDefault="00142E27" w:rsidP="00142E27">
      <w:pPr>
        <w:keepNext/>
        <w:spacing w:line="276" w:lineRule="auto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>Obec může stanovit pro jednotlivé skupiny nemovitých věcí místní koeficient v rozmezí od 0,5 do 5,0; výjimkou jsou skupiny vybraných zemědělských pozemků, trvalých travních porostů a nevyužitelných ostatních ploch, pro které lze stanovit místní koeficient v limitované výši od 0,5 do 1,5 (§ 12 odst. 2 zákona o dani z nemovitých věcí).</w:t>
      </w:r>
    </w:p>
    <w:p w14:paraId="6DF8BDFF" w14:textId="77777777" w:rsidR="00142E27" w:rsidRPr="00142E27" w:rsidRDefault="00142E27" w:rsidP="00142E27">
      <w:pPr>
        <w:keepNext/>
        <w:spacing w:line="276" w:lineRule="auto"/>
        <w:rPr>
          <w:rFonts w:ascii="Arial" w:hAnsi="Arial" w:cs="Arial"/>
          <w:sz w:val="22"/>
          <w:szCs w:val="22"/>
        </w:rPr>
      </w:pPr>
      <w:r w:rsidRPr="00142E27">
        <w:rPr>
          <w:rFonts w:ascii="Arial" w:hAnsi="Arial" w:cs="Arial"/>
          <w:sz w:val="22"/>
          <w:szCs w:val="22"/>
        </w:rPr>
        <w:t xml:space="preserve">Místní koeficient pro jednotlivou skupinu nemovitých věcí se dle § 12ab odst. 4 zákona o dani z nemovitých věcí vztahuje zásadně na všechny nemovité věci dané skupiny na území celé obce. Tento místní koeficient proto nelze zavádět pouze pro určité územní </w:t>
      </w:r>
      <w:proofErr w:type="spellStart"/>
      <w:r w:rsidRPr="00142E27">
        <w:rPr>
          <w:rFonts w:ascii="Arial" w:hAnsi="Arial" w:cs="Arial"/>
          <w:sz w:val="22"/>
          <w:szCs w:val="22"/>
        </w:rPr>
        <w:t>subcelky</w:t>
      </w:r>
      <w:proofErr w:type="spellEnd"/>
      <w:r w:rsidRPr="00142E27">
        <w:rPr>
          <w:rFonts w:ascii="Arial" w:hAnsi="Arial" w:cs="Arial"/>
          <w:sz w:val="22"/>
          <w:szCs w:val="22"/>
        </w:rPr>
        <w:t xml:space="preserve"> obce, např. pro jednotlivá katastrální území, ale vždy pro obec jako celek.</w:t>
      </w:r>
    </w:p>
    <w:p w14:paraId="6D91B6C5" w14:textId="77777777" w:rsidR="00A35C39" w:rsidRDefault="00A35C39" w:rsidP="00884F21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ACE46B6" w14:textId="77777777" w:rsidR="000931AF" w:rsidRDefault="000931AF" w:rsidP="00813C89">
      <w:pPr>
        <w:jc w:val="center"/>
        <w:rPr>
          <w:rFonts w:ascii="Arial" w:hAnsi="Arial" w:cs="Arial"/>
          <w:b/>
          <w:sz w:val="22"/>
          <w:szCs w:val="22"/>
        </w:rPr>
      </w:pPr>
    </w:p>
    <w:p w14:paraId="1C46EA16" w14:textId="77777777" w:rsidR="000931AF" w:rsidRDefault="000931AF" w:rsidP="00813C89">
      <w:pPr>
        <w:jc w:val="center"/>
        <w:rPr>
          <w:rFonts w:ascii="Arial" w:hAnsi="Arial" w:cs="Arial"/>
          <w:b/>
          <w:sz w:val="22"/>
          <w:szCs w:val="22"/>
        </w:rPr>
      </w:pPr>
    </w:p>
    <w:p w14:paraId="5EA778E9" w14:textId="77777777" w:rsidR="000916CA" w:rsidRDefault="000916CA" w:rsidP="000916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9D679A1" w14:textId="443BD461" w:rsidR="000916CA" w:rsidRDefault="000916CA" w:rsidP="000916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405006A" w14:textId="77777777" w:rsidR="000916CA" w:rsidRDefault="000916CA" w:rsidP="000916CA">
      <w:pPr>
        <w:jc w:val="both"/>
        <w:rPr>
          <w:rFonts w:ascii="Arial" w:hAnsi="Arial" w:cs="Arial"/>
          <w:b/>
          <w:sz w:val="22"/>
          <w:szCs w:val="22"/>
        </w:rPr>
      </w:pPr>
    </w:p>
    <w:p w14:paraId="1EED9DB4" w14:textId="3B0468F6" w:rsidR="000916CA" w:rsidRDefault="000916CA" w:rsidP="000916CA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obce Luštěnice č. 3 / 2024 </w:t>
      </w:r>
      <w:r w:rsidRPr="000916CA">
        <w:rPr>
          <w:rFonts w:ascii="Arial" w:hAnsi="Arial" w:cs="Arial"/>
          <w:sz w:val="22"/>
          <w:szCs w:val="22"/>
        </w:rPr>
        <w:t>o stanovení místního koeficientu pro jednotlivé skupiny nemovitých věcí</w:t>
      </w:r>
    </w:p>
    <w:p w14:paraId="398D500E" w14:textId="77777777" w:rsidR="000931AF" w:rsidRDefault="000931AF" w:rsidP="00813C89">
      <w:pPr>
        <w:jc w:val="center"/>
        <w:rPr>
          <w:rFonts w:ascii="Arial" w:hAnsi="Arial" w:cs="Arial"/>
          <w:b/>
          <w:sz w:val="22"/>
          <w:szCs w:val="22"/>
        </w:rPr>
      </w:pPr>
    </w:p>
    <w:p w14:paraId="74271087" w14:textId="3772F679" w:rsidR="00E421C1" w:rsidRDefault="00E421C1" w:rsidP="00813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916CA">
        <w:rPr>
          <w:rFonts w:ascii="Arial" w:hAnsi="Arial" w:cs="Arial"/>
          <w:b/>
          <w:sz w:val="22"/>
          <w:szCs w:val="22"/>
        </w:rPr>
        <w:t>3</w:t>
      </w:r>
    </w:p>
    <w:p w14:paraId="19B20687" w14:textId="6C92C30E" w:rsidR="00813C89" w:rsidRDefault="002F02A7" w:rsidP="00813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 vyhlášky</w:t>
      </w:r>
    </w:p>
    <w:p w14:paraId="5DB129B4" w14:textId="77777777" w:rsidR="00E421C1" w:rsidRDefault="00E421C1" w:rsidP="00813C89">
      <w:pPr>
        <w:jc w:val="both"/>
        <w:rPr>
          <w:rFonts w:ascii="Arial" w:hAnsi="Arial" w:cs="Arial"/>
          <w:b/>
          <w:sz w:val="22"/>
          <w:szCs w:val="22"/>
        </w:rPr>
      </w:pPr>
    </w:p>
    <w:p w14:paraId="73308D71" w14:textId="2B48D926" w:rsidR="00813C89" w:rsidRDefault="002F02A7" w:rsidP="002F02A7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2F02A7">
        <w:rPr>
          <w:rFonts w:ascii="Arial" w:hAnsi="Arial" w:cs="Arial"/>
          <w:sz w:val="22"/>
          <w:szCs w:val="22"/>
        </w:rPr>
        <w:t>Tato obecně závazná vyhláška nabývá účinnosti dne 1.1.20</w:t>
      </w:r>
      <w:r w:rsidR="005E338D">
        <w:rPr>
          <w:rFonts w:ascii="Arial" w:hAnsi="Arial" w:cs="Arial"/>
          <w:sz w:val="22"/>
          <w:szCs w:val="22"/>
        </w:rPr>
        <w:t>2</w:t>
      </w:r>
      <w:r w:rsidR="000916CA">
        <w:rPr>
          <w:rFonts w:ascii="Arial" w:hAnsi="Arial" w:cs="Arial"/>
          <w:sz w:val="22"/>
          <w:szCs w:val="22"/>
        </w:rPr>
        <w:t>6</w:t>
      </w:r>
    </w:p>
    <w:p w14:paraId="28AF1A65" w14:textId="77777777" w:rsidR="00813C89" w:rsidRDefault="00813C89" w:rsidP="002F02A7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6F99C0F" w14:textId="77777777" w:rsidR="00813C89" w:rsidRDefault="00813C89" w:rsidP="00813C89">
      <w:pPr>
        <w:jc w:val="both"/>
        <w:rPr>
          <w:rFonts w:ascii="Arial" w:hAnsi="Arial" w:cs="Arial"/>
          <w:b/>
          <w:sz w:val="22"/>
          <w:szCs w:val="22"/>
        </w:rPr>
      </w:pPr>
    </w:p>
    <w:p w14:paraId="77B0DD12" w14:textId="77777777" w:rsidR="00E421C1" w:rsidRDefault="00E421C1" w:rsidP="00E421C1">
      <w:pPr>
        <w:spacing w:after="120"/>
        <w:rPr>
          <w:rFonts w:ascii="Arial" w:hAnsi="Arial" w:cs="Arial"/>
          <w:sz w:val="22"/>
          <w:szCs w:val="22"/>
        </w:rPr>
      </w:pPr>
    </w:p>
    <w:p w14:paraId="571E00FC" w14:textId="77777777" w:rsidR="00E421C1" w:rsidRDefault="00E421C1" w:rsidP="00E421C1">
      <w:pPr>
        <w:spacing w:after="120"/>
        <w:rPr>
          <w:rFonts w:ascii="Arial" w:hAnsi="Arial" w:cs="Arial"/>
          <w:sz w:val="22"/>
          <w:szCs w:val="22"/>
        </w:rPr>
      </w:pPr>
    </w:p>
    <w:p w14:paraId="3518B0B8" w14:textId="7BE42748" w:rsidR="00E421C1" w:rsidRDefault="00F709E6" w:rsidP="00E421C1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421C1">
        <w:rPr>
          <w:rFonts w:ascii="Arial" w:hAnsi="Arial" w:cs="Arial"/>
          <w:i/>
          <w:sz w:val="22"/>
          <w:szCs w:val="22"/>
        </w:rPr>
        <w:tab/>
      </w:r>
      <w:r w:rsidR="00E421C1">
        <w:rPr>
          <w:rFonts w:ascii="Arial" w:hAnsi="Arial" w:cs="Arial"/>
          <w:i/>
          <w:sz w:val="22"/>
          <w:szCs w:val="22"/>
        </w:rPr>
        <w:tab/>
      </w:r>
      <w:r w:rsidR="00E421C1">
        <w:rPr>
          <w:rFonts w:ascii="Arial" w:hAnsi="Arial" w:cs="Arial"/>
          <w:i/>
          <w:sz w:val="22"/>
          <w:szCs w:val="22"/>
        </w:rPr>
        <w:tab/>
      </w:r>
      <w:r w:rsidR="00E421C1">
        <w:rPr>
          <w:rFonts w:ascii="Arial" w:hAnsi="Arial" w:cs="Arial"/>
          <w:i/>
          <w:sz w:val="22"/>
          <w:szCs w:val="22"/>
        </w:rPr>
        <w:tab/>
      </w:r>
    </w:p>
    <w:p w14:paraId="690E24FD" w14:textId="77777777" w:rsidR="005F509A" w:rsidRDefault="005F509A" w:rsidP="00E421C1">
      <w:pPr>
        <w:spacing w:after="120"/>
        <w:rPr>
          <w:rFonts w:ascii="Arial" w:hAnsi="Arial" w:cs="Arial"/>
          <w:i/>
          <w:sz w:val="22"/>
          <w:szCs w:val="22"/>
        </w:rPr>
      </w:pPr>
    </w:p>
    <w:p w14:paraId="50A4B69E" w14:textId="77777777" w:rsidR="005F509A" w:rsidRDefault="005F509A" w:rsidP="00E421C1">
      <w:pPr>
        <w:spacing w:after="120"/>
        <w:rPr>
          <w:rFonts w:ascii="Arial" w:hAnsi="Arial" w:cs="Arial"/>
          <w:i/>
          <w:sz w:val="22"/>
          <w:szCs w:val="22"/>
        </w:rPr>
      </w:pPr>
    </w:p>
    <w:p w14:paraId="0F404F46" w14:textId="77777777" w:rsidR="00E421C1" w:rsidRDefault="00E421C1" w:rsidP="00E421C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203498">
        <w:rPr>
          <w:rFonts w:ascii="Arial" w:hAnsi="Arial" w:cs="Arial"/>
          <w:sz w:val="22"/>
          <w:szCs w:val="22"/>
        </w:rPr>
        <w:tab/>
      </w:r>
      <w:r w:rsidR="00203498">
        <w:rPr>
          <w:rFonts w:ascii="Arial" w:hAnsi="Arial" w:cs="Arial"/>
          <w:sz w:val="22"/>
          <w:szCs w:val="22"/>
        </w:rPr>
        <w:tab/>
        <w:t xml:space="preserve">  ……………………..                          </w:t>
      </w:r>
      <w:r>
        <w:rPr>
          <w:rFonts w:ascii="Arial" w:hAnsi="Arial" w:cs="Arial"/>
          <w:sz w:val="22"/>
          <w:szCs w:val="22"/>
        </w:rPr>
        <w:t>..................................</w:t>
      </w:r>
    </w:p>
    <w:p w14:paraId="312DEE66" w14:textId="007C5968" w:rsidR="00E421C1" w:rsidRDefault="00E421C1" w:rsidP="00E421C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03498">
        <w:rPr>
          <w:rFonts w:ascii="Arial" w:hAnsi="Arial" w:cs="Arial"/>
          <w:sz w:val="22"/>
          <w:szCs w:val="22"/>
        </w:rPr>
        <w:t>Jakub Jakubův</w:t>
      </w:r>
      <w:r w:rsidR="00F709E6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03498">
        <w:rPr>
          <w:rFonts w:ascii="Arial" w:hAnsi="Arial" w:cs="Arial"/>
          <w:sz w:val="22"/>
          <w:szCs w:val="22"/>
        </w:rPr>
        <w:t xml:space="preserve">        Martin Janů</w:t>
      </w:r>
      <w:r w:rsidR="00F709E6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03498">
        <w:rPr>
          <w:rFonts w:ascii="Arial" w:hAnsi="Arial" w:cs="Arial"/>
          <w:sz w:val="22"/>
          <w:szCs w:val="22"/>
        </w:rPr>
        <w:t xml:space="preserve">          Mgr. Magdalena Fišerová</w:t>
      </w:r>
      <w:r w:rsidR="00F709E6">
        <w:rPr>
          <w:rFonts w:ascii="Arial" w:hAnsi="Arial" w:cs="Arial"/>
          <w:sz w:val="22"/>
          <w:szCs w:val="22"/>
        </w:rPr>
        <w:t xml:space="preserve"> v.r.</w:t>
      </w:r>
    </w:p>
    <w:p w14:paraId="4A1F7AD9" w14:textId="0DEC4FBF" w:rsidR="00E421C1" w:rsidRDefault="00E421C1" w:rsidP="00E421C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 w:rsidR="00203498">
        <w:rPr>
          <w:rFonts w:ascii="Arial" w:hAnsi="Arial" w:cs="Arial"/>
          <w:sz w:val="22"/>
          <w:szCs w:val="22"/>
        </w:rPr>
        <w:tab/>
      </w:r>
      <w:r w:rsidR="00203498">
        <w:rPr>
          <w:rFonts w:ascii="Arial" w:hAnsi="Arial" w:cs="Arial"/>
          <w:sz w:val="22"/>
          <w:szCs w:val="22"/>
        </w:rPr>
        <w:tab/>
        <w:t xml:space="preserve">   </w:t>
      </w:r>
      <w:r w:rsidR="00656DD6">
        <w:rPr>
          <w:rFonts w:ascii="Arial" w:hAnsi="Arial" w:cs="Arial"/>
          <w:sz w:val="22"/>
          <w:szCs w:val="22"/>
        </w:rPr>
        <w:t xml:space="preserve"> </w:t>
      </w:r>
      <w:r w:rsidR="00203498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203498">
        <w:rPr>
          <w:rFonts w:ascii="Arial" w:hAnsi="Arial" w:cs="Arial"/>
          <w:sz w:val="22"/>
          <w:szCs w:val="22"/>
        </w:rPr>
        <w:t>místostarosta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20349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34B8AEB9" w14:textId="77777777" w:rsidR="00E421C1" w:rsidRDefault="00E421C1" w:rsidP="00E421C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13CB85" w14:textId="77777777" w:rsidR="00E421C1" w:rsidRDefault="00E421C1" w:rsidP="00E421C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737EC4" w14:textId="77777777" w:rsidR="00444850" w:rsidRDefault="00444850"/>
    <w:p w14:paraId="74845A53" w14:textId="77777777" w:rsidR="007C71CD" w:rsidRDefault="007C71CD"/>
    <w:p w14:paraId="0FDF4B0E" w14:textId="77777777" w:rsidR="007C71CD" w:rsidRDefault="007C71CD"/>
    <w:p w14:paraId="6A6F62F8" w14:textId="77777777" w:rsidR="007C71CD" w:rsidRDefault="007C71CD"/>
    <w:p w14:paraId="57D75ABD" w14:textId="77777777" w:rsidR="007C71CD" w:rsidRDefault="007C71CD"/>
    <w:p w14:paraId="33F625B6" w14:textId="77777777" w:rsidR="007C71CD" w:rsidRDefault="007C71CD"/>
    <w:p w14:paraId="0E1B16DE" w14:textId="77777777" w:rsidR="007C71CD" w:rsidRDefault="007C71CD"/>
    <w:p w14:paraId="0B0FC2F7" w14:textId="77777777" w:rsidR="007C71CD" w:rsidRDefault="007C71CD"/>
    <w:sectPr w:rsidR="007C71CD" w:rsidSect="002B682F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1A927" w14:textId="77777777" w:rsidR="006F3B99" w:rsidRDefault="006F3B99" w:rsidP="00E421C1">
      <w:r>
        <w:separator/>
      </w:r>
    </w:p>
  </w:endnote>
  <w:endnote w:type="continuationSeparator" w:id="0">
    <w:p w14:paraId="02AD785E" w14:textId="77777777" w:rsidR="006F3B99" w:rsidRDefault="006F3B99" w:rsidP="00E4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9C0FE" w14:textId="77777777" w:rsidR="006F3B99" w:rsidRDefault="006F3B99" w:rsidP="00E421C1">
      <w:r>
        <w:separator/>
      </w:r>
    </w:p>
  </w:footnote>
  <w:footnote w:type="continuationSeparator" w:id="0">
    <w:p w14:paraId="6175C8EA" w14:textId="77777777" w:rsidR="006F3B99" w:rsidRDefault="006F3B99" w:rsidP="00E4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730"/>
    <w:multiLevelType w:val="hybridMultilevel"/>
    <w:tmpl w:val="0512CDB2"/>
    <w:lvl w:ilvl="0" w:tplc="ADF64D0A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41460E"/>
    <w:multiLevelType w:val="hybridMultilevel"/>
    <w:tmpl w:val="7F7EA330"/>
    <w:lvl w:ilvl="0" w:tplc="165C3B1E">
      <w:start w:val="1"/>
      <w:numFmt w:val="decimal"/>
      <w:lvlText w:val="(%1)"/>
      <w:lvlJc w:val="left"/>
      <w:pPr>
        <w:ind w:left="106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41445"/>
    <w:multiLevelType w:val="hybridMultilevel"/>
    <w:tmpl w:val="AD08A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D12EF"/>
    <w:multiLevelType w:val="hybridMultilevel"/>
    <w:tmpl w:val="44909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030CD"/>
    <w:multiLevelType w:val="hybridMultilevel"/>
    <w:tmpl w:val="9BBE5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C1"/>
    <w:rsid w:val="0001557A"/>
    <w:rsid w:val="000916CA"/>
    <w:rsid w:val="000931AF"/>
    <w:rsid w:val="000A7213"/>
    <w:rsid w:val="000F07F3"/>
    <w:rsid w:val="0011650F"/>
    <w:rsid w:val="00142E27"/>
    <w:rsid w:val="00203498"/>
    <w:rsid w:val="002B682F"/>
    <w:rsid w:val="002F02A7"/>
    <w:rsid w:val="00322F6B"/>
    <w:rsid w:val="00420562"/>
    <w:rsid w:val="00444850"/>
    <w:rsid w:val="00487A16"/>
    <w:rsid w:val="005A769C"/>
    <w:rsid w:val="005C2328"/>
    <w:rsid w:val="005E338D"/>
    <w:rsid w:val="005F509A"/>
    <w:rsid w:val="006567FA"/>
    <w:rsid w:val="00656DD6"/>
    <w:rsid w:val="006C2D2A"/>
    <w:rsid w:val="006F3B99"/>
    <w:rsid w:val="00710CA6"/>
    <w:rsid w:val="00737684"/>
    <w:rsid w:val="00741872"/>
    <w:rsid w:val="007C5EB8"/>
    <w:rsid w:val="007C71CD"/>
    <w:rsid w:val="0080593A"/>
    <w:rsid w:val="00813C89"/>
    <w:rsid w:val="00882EF4"/>
    <w:rsid w:val="00884F21"/>
    <w:rsid w:val="008D4E80"/>
    <w:rsid w:val="00907C1A"/>
    <w:rsid w:val="00A35C39"/>
    <w:rsid w:val="00AE49C6"/>
    <w:rsid w:val="00B044F9"/>
    <w:rsid w:val="00B77F6F"/>
    <w:rsid w:val="00B852BA"/>
    <w:rsid w:val="00BE4F93"/>
    <w:rsid w:val="00BE7EC5"/>
    <w:rsid w:val="00C03CED"/>
    <w:rsid w:val="00CE0027"/>
    <w:rsid w:val="00D175C4"/>
    <w:rsid w:val="00D422C0"/>
    <w:rsid w:val="00D71B17"/>
    <w:rsid w:val="00D87E89"/>
    <w:rsid w:val="00DC26E2"/>
    <w:rsid w:val="00E421C1"/>
    <w:rsid w:val="00F4037C"/>
    <w:rsid w:val="00F403FF"/>
    <w:rsid w:val="00F709E6"/>
    <w:rsid w:val="00F72D54"/>
    <w:rsid w:val="00F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9E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21C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21C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421C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421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421C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E421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07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02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02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02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02A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21C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21C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421C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421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421C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E421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07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02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02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02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02A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Bauerová</dc:creator>
  <cp:lastModifiedBy>Drahomíra Bauerová</cp:lastModifiedBy>
  <cp:revision>2</cp:revision>
  <cp:lastPrinted>2025-07-09T14:00:00Z</cp:lastPrinted>
  <dcterms:created xsi:type="dcterms:W3CDTF">2025-07-09T14:02:00Z</dcterms:created>
  <dcterms:modified xsi:type="dcterms:W3CDTF">2025-07-09T14:02:00Z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2024-02-06T12:11:53Z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d7271cac-24df-4734-bbac-6e2a6fe24b8f</vt:lpwstr>
  </property>
  <property fmtid="{D5CDD505-2E9C-101B-9397-08002B2CF9AE}" pid="8" name="MSIP_Label_b1c9b508-7c6e-42bd-bedf-808292653d6c_ContentBits">
    <vt:lpwstr>3</vt:lpwstr>
  </property>
</Properties>
</file>