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spacing w:line="97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461" w:h="20280"/>
          <w:pgMar w:top="1036" w:left="0" w:right="0" w:bottom="454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/>
        <w:keepLines/>
        <w:shd w:val="clear" w:color="auto" w:fill="auto"/>
        <w:bidi w:val="0"/>
        <w:spacing w:before="0" w:after="71"/>
        <w:ind w:left="0" w:right="0" w:firstLine="0"/>
      </w:pPr>
      <w:bookmarkStart w:id="0" w:name="bookmark0"/>
      <w:r>
        <w:rPr>
          <w:lang w:val="cs-CZ" w:eastAsia="cs-CZ" w:bidi="cs-CZ"/>
          <w:rFonts w:ascii="Times New Roman" w:eastAsia="Times New Roman" w:hAnsi="Times New Roman" w:cs="Times New Roman"/>
          <w:w w:val="100"/>
          <w:color w:val="000000"/>
          <w:position w:val="0"/>
        </w:rPr>
        <w:t>OBEC MECHOLUPY</w:t>
      </w:r>
      <w:bookmarkEnd w:id="0"/>
    </w:p>
    <w:p>
      <w:pPr>
        <w:pStyle w:val="Style17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1" w:name="bookmark1"/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Obecně závazná vyhláška č. 2/2011,</w:t>
      </w:r>
      <w:bookmarkEnd w:id="1"/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 místním poplatku za užívání veřejného prostranství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Zastupitelstvo obce Měcholupy se na svém zasedání dne 22.06.2011 usneslo č. usnesení S-078/2011 vydat na základě § 14 odst. 2 zákona č. 565/1990 Sb., o místních poplatcích, ve znění pozdějších předpisů (dále jen „zákon o místních poplatcích “) a</w:t>
      </w:r>
      <w:r>
        <w:rPr>
          <w:rStyle w:val="CharStyle23"/>
          <w:i w:val="0"/>
          <w:iCs w:val="0"/>
        </w:rPr>
        <w:t xml:space="preserve"> v 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souladu s § 10 písm.</w:t>
      </w:r>
    </w:p>
    <w:p>
      <w:pPr>
        <w:pStyle w:val="Style21"/>
        <w:numPr>
          <w:ilvl w:val="0"/>
          <w:numId w:val="3"/>
        </w:numPr>
        <w:tabs>
          <w:tab w:leader="none" w:pos="41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47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a § 84 odst. 2 písm. h) zákona č. 128/2000 Sb., o obcích (obecní zřízení), ve znění pozdějších předpisů, tuto obecně závaznou vyhlášku (dále jen ,,vyhláška“):</w:t>
      </w:r>
    </w:p>
    <w:p>
      <w:pPr>
        <w:pStyle w:val="Style24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2" w:name="bookmark2"/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ČI. 1</w:t>
      </w:r>
      <w:bookmarkEnd w:id="2"/>
    </w:p>
    <w:p>
      <w:pPr>
        <w:pStyle w:val="Style26"/>
        <w:widowControl w:val="0"/>
        <w:keepNext/>
        <w:keepLines/>
        <w:shd w:val="clear" w:color="auto" w:fill="auto"/>
        <w:bidi w:val="0"/>
        <w:spacing w:before="0" w:after="278"/>
        <w:ind w:left="0" w:right="0" w:firstLine="0"/>
      </w:pPr>
      <w:bookmarkStart w:id="3" w:name="bookmark3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Úvodní ustanovení</w:t>
      </w:r>
      <w:bookmarkEnd w:id="3"/>
    </w:p>
    <w:p>
      <w:pPr>
        <w:pStyle w:val="Style28"/>
        <w:numPr>
          <w:ilvl w:val="0"/>
          <w:numId w:val="5"/>
        </w:numPr>
        <w:tabs>
          <w:tab w:leader="none" w:pos="36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00" w:right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Obec Měcholupy touto vyhláškou zavádí místní poplatek za užívání veřejného prostranství (dále jen „poplatek</w:t>
      </w: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44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).^</w:t>
      </w:r>
    </w:p>
    <w:p>
      <w:pPr>
        <w:pStyle w:val="Style28"/>
        <w:numPr>
          <w:ilvl w:val="0"/>
          <w:numId w:val="5"/>
        </w:numPr>
        <w:tabs>
          <w:tab w:leader="none" w:pos="38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82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Řízení o poplatku vykonává Obecní úřad Měcholupy (dále jen „správce poplatku“).</w:t>
      </w: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erence w:id="2"/>
      </w: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 </w:t>
      </w: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erence w:id="3"/>
      </w:r>
    </w:p>
    <w:p>
      <w:pPr>
        <w:pStyle w:val="Style30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4" w:name="bookmark4"/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ČI. 2</w:t>
      </w:r>
      <w:bookmarkEnd w:id="4"/>
    </w:p>
    <w:p>
      <w:pPr>
        <w:pStyle w:val="Style26"/>
        <w:widowControl w:val="0"/>
        <w:keepNext/>
        <w:keepLines/>
        <w:shd w:val="clear" w:color="auto" w:fill="auto"/>
        <w:bidi w:val="0"/>
        <w:spacing w:before="0" w:after="278"/>
        <w:ind w:left="0" w:right="0" w:firstLine="0"/>
      </w:pPr>
      <w:bookmarkStart w:id="5" w:name="bookmark5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Předmět poplatku, poplatník</w:t>
      </w:r>
      <w:bookmarkEnd w:id="5"/>
    </w:p>
    <w:p>
      <w:pPr>
        <w:pStyle w:val="Style28"/>
        <w:numPr>
          <w:ilvl w:val="0"/>
          <w:numId w:val="7"/>
        </w:numPr>
        <w:tabs>
          <w:tab w:leader="none" w:pos="36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00" w:right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Poplatek za užívání veřejného prostranství se vybírá za zvláštní užívání veřejného prostranství, kterým se pro účely této vyhlášky rozumí provádění výkopových prací, umístění dočasných staveb a zařízení sloužících pro poskytování prodeje a služeb, umístění stavebních nebo reklamních zařízení, zařízení cirkusů, lunaparků a jiných obdobných atrakcí, umístění skládek, vyhrazení trvalého parkovacího místa a užívání tohoto prostranství pro reklamní akce, nebo potřeby tvorby filmových a televizních děl.</w:t>
      </w: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erence w:id="4"/>
      </w:r>
    </w:p>
    <w:p>
      <w:pPr>
        <w:pStyle w:val="Style28"/>
        <w:numPr>
          <w:ilvl w:val="0"/>
          <w:numId w:val="7"/>
        </w:numPr>
        <w:tabs>
          <w:tab w:leader="none" w:pos="387" w:val="left"/>
        </w:tabs>
        <w:widowControl w:val="0"/>
        <w:keepNext w:val="0"/>
        <w:keepLines w:val="0"/>
        <w:shd w:val="clear" w:color="auto" w:fill="auto"/>
        <w:bidi w:val="0"/>
        <w:spacing w:before="0" w:after="282"/>
        <w:ind w:left="400" w:right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Poplatek za užívání veřejného prostranství platí fyzické i právnické osoby, které užívají veřejné prostranství způsobem uvedeným v odstavci 1.</w:t>
      </w: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erence w:id="5"/>
      </w: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 </w:t>
      </w: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erence w:id="6"/>
      </w: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 </w:t>
      </w: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erence w:id="7"/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ČI. 3</w:t>
      </w:r>
    </w:p>
    <w:p>
      <w:pPr>
        <w:pStyle w:val="Style26"/>
        <w:widowControl w:val="0"/>
        <w:keepNext/>
        <w:keepLines/>
        <w:shd w:val="clear" w:color="auto" w:fill="auto"/>
        <w:bidi w:val="0"/>
        <w:spacing w:before="0" w:after="270"/>
        <w:ind w:left="0" w:right="0" w:firstLine="0"/>
      </w:pPr>
      <w:bookmarkStart w:id="6" w:name="bookmark6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Veřejné prostranství</w:t>
      </w:r>
      <w:bookmarkEnd w:id="6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90" w:line="278" w:lineRule="exact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Poplatek se platí za užívání veřejných prostranství</w:t>
      </w: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5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' vyznačených graficky v mapové příloze č. 1 této vyhlášky.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ČI. 4</w:t>
      </w:r>
    </w:p>
    <w:p>
      <w:pPr>
        <w:pStyle w:val="Style26"/>
        <w:widowControl w:val="0"/>
        <w:keepNext/>
        <w:keepLines/>
        <w:shd w:val="clear" w:color="auto" w:fill="auto"/>
        <w:bidi w:val="0"/>
        <w:spacing w:before="0" w:after="274"/>
        <w:ind w:left="0" w:right="0" w:firstLine="0"/>
      </w:pPr>
      <w:bookmarkStart w:id="7" w:name="bookmark7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Ohlašovací povinnost</w:t>
      </w:r>
      <w:bookmarkEnd w:id="7"/>
    </w:p>
    <w:p>
      <w:pPr>
        <w:pStyle w:val="Style28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400" w:right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1) Poplatník je povinen ohlásit</w:t>
      </w: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6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' správci poplatku užívání veřejného prostranství nejpozději v den zahájení užívání veřejného prostranství. Pokud tento den připadne na sobotu, neděli nebo státem uznaný svátek, nebo není možné povinnost splnit z jiného závažného důvodu, je poplatník povinen splnit ohlašovací povinnost nejblíže následující pracovní den.</w:t>
      </w:r>
    </w:p>
    <w:p>
      <w:pPr>
        <w:pStyle w:val="Style28"/>
        <w:numPr>
          <w:ilvl w:val="0"/>
          <w:numId w:val="9"/>
        </w:numPr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340" w:right="0" w:hanging="34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Obsah ohlášení upravuje zákon o místních poplatcích.</w:t>
      </w: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7)</w:t>
      </w:r>
    </w:p>
    <w:p>
      <w:pPr>
        <w:pStyle w:val="Style28"/>
        <w:numPr>
          <w:ilvl w:val="0"/>
          <w:numId w:val="9"/>
        </w:numPr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86" w:line="274" w:lineRule="exact"/>
        <w:ind w:left="340" w:right="0" w:hanging="34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Dojde-li ke změně údajů uvedených v ohlášení</w:t>
      </w: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erence w:id="8"/>
      </w: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 </w:t>
      </w: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erence w:id="9"/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*, je poplatník povinen tuto změnu oznámit do 15 dnů ode dne, kdy nastala.</w:t>
      </w: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erence w:id="10"/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*</w:t>
      </w:r>
    </w:p>
    <w:p>
      <w:pPr>
        <w:pStyle w:val="Style34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8" w:name="bookmark8"/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ČI. </w:t>
      </w:r>
      <w:r>
        <w:rPr>
          <w:rStyle w:val="CharStyle36"/>
          <w:b w:val="0"/>
          <w:bCs w:val="0"/>
        </w:rPr>
        <w:t>5</w:t>
      </w:r>
      <w:bookmarkEnd w:id="8"/>
    </w:p>
    <w:p>
      <w:pPr>
        <w:pStyle w:val="Style26"/>
        <w:widowControl w:val="0"/>
        <w:keepNext/>
        <w:keepLines/>
        <w:shd w:val="clear" w:color="auto" w:fill="auto"/>
        <w:bidi w:val="0"/>
        <w:spacing w:before="0" w:after="278"/>
        <w:ind w:left="0" w:right="0" w:firstLine="0"/>
      </w:pPr>
      <w:bookmarkStart w:id="9" w:name="bookmark9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Sazba poplatku</w:t>
      </w:r>
      <w:bookmarkEnd w:id="9"/>
    </w:p>
    <w:p>
      <w:pPr>
        <w:pStyle w:val="Style28"/>
        <w:numPr>
          <w:ilvl w:val="0"/>
          <w:numId w:val="11"/>
        </w:numPr>
        <w:tabs>
          <w:tab w:leader="none" w:pos="3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40" w:right="0" w:hanging="34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Sazba poplatku činí za každý i započatý m a každý i započatý den:</w:t>
      </w:r>
    </w:p>
    <w:p>
      <w:pPr>
        <w:pStyle w:val="Style28"/>
        <w:numPr>
          <w:ilvl w:val="0"/>
          <w:numId w:val="13"/>
        </w:numPr>
        <w:tabs>
          <w:tab w:leader="none" w:pos="708" w:val="left"/>
          <w:tab w:leader="dot" w:pos="840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4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za provádění výkopových prací</w:t>
        <w:tab/>
        <w:t xml:space="preserve"> 5,- Kč,</w:t>
      </w:r>
    </w:p>
    <w:p>
      <w:pPr>
        <w:pStyle w:val="Style28"/>
        <w:numPr>
          <w:ilvl w:val="0"/>
          <w:numId w:val="13"/>
        </w:numPr>
        <w:tabs>
          <w:tab w:leader="none" w:pos="732" w:val="left"/>
          <w:tab w:leader="none" w:pos="6616" w:val="center"/>
          <w:tab w:leader="dot" w:pos="8771" w:val="right"/>
          <w:tab w:leader="none" w:pos="917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4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za umístění dočasných staveb sloužících pro poskytování</w:t>
        <w:tab/>
        <w:t>prodeje</w:t>
        <w:tab/>
        <w:t xml:space="preserve"> 5,-</w:t>
        <w:tab/>
        <w:t>Kč,</w:t>
      </w:r>
    </w:p>
    <w:p>
      <w:pPr>
        <w:pStyle w:val="Style28"/>
        <w:numPr>
          <w:ilvl w:val="0"/>
          <w:numId w:val="13"/>
        </w:numPr>
        <w:tabs>
          <w:tab w:leader="none" w:pos="732" w:val="left"/>
          <w:tab w:leader="none" w:pos="6616" w:val="center"/>
          <w:tab w:leader="dot" w:pos="8771" w:val="right"/>
          <w:tab w:leader="none" w:pos="917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4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za umístění dočasných staveb sloužících pro poskytování</w:t>
        <w:tab/>
        <w:t xml:space="preserve">služeb </w:t>
        <w:tab/>
        <w:t xml:space="preserve"> 5,-</w:t>
        <w:tab/>
        <w:t>Kč,</w:t>
      </w:r>
    </w:p>
    <w:p>
      <w:pPr>
        <w:pStyle w:val="Style28"/>
        <w:numPr>
          <w:ilvl w:val="0"/>
          <w:numId w:val="13"/>
        </w:numPr>
        <w:tabs>
          <w:tab w:leader="none" w:pos="732" w:val="left"/>
          <w:tab w:leader="dot" w:pos="8771" w:val="right"/>
          <w:tab w:leader="none" w:pos="917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4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za umístění zařízení sloužících pro poskytování prodeje </w:t>
        <w:tab/>
        <w:t xml:space="preserve"> 5,-</w:t>
        <w:tab/>
        <w:t>Kč,</w:t>
      </w:r>
    </w:p>
    <w:p>
      <w:pPr>
        <w:pStyle w:val="Style28"/>
        <w:numPr>
          <w:ilvl w:val="0"/>
          <w:numId w:val="13"/>
        </w:numPr>
        <w:tabs>
          <w:tab w:leader="none" w:pos="732" w:val="left"/>
          <w:tab w:leader="dot" w:pos="8771" w:val="right"/>
          <w:tab w:leader="none" w:pos="917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4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za umístění zařízení sloužících pro poskytování služeb</w:t>
        <w:tab/>
        <w:t xml:space="preserve"> 5,-</w:t>
        <w:tab/>
        <w:t>Kč,</w:t>
      </w:r>
    </w:p>
    <w:p>
      <w:pPr>
        <w:pStyle w:val="Style28"/>
        <w:numPr>
          <w:ilvl w:val="0"/>
          <w:numId w:val="13"/>
        </w:numPr>
        <w:tabs>
          <w:tab w:leader="none" w:pos="732" w:val="left"/>
          <w:tab w:leader="dot" w:pos="8771" w:val="right"/>
          <w:tab w:leader="none" w:pos="917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4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za umístění stavebních zařízení </w:t>
        <w:tab/>
        <w:t xml:space="preserve"> 5,-</w:t>
        <w:tab/>
        <w:t>Kč,</w:t>
      </w:r>
    </w:p>
    <w:p>
      <w:pPr>
        <w:pStyle w:val="Style28"/>
        <w:numPr>
          <w:ilvl w:val="0"/>
          <w:numId w:val="13"/>
        </w:numPr>
        <w:tabs>
          <w:tab w:leader="none" w:pos="732" w:val="left"/>
          <w:tab w:leader="dot" w:pos="8771" w:val="right"/>
          <w:tab w:leader="none" w:pos="917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4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za umístění reklamních zařízení </w:t>
        <w:tab/>
        <w:t xml:space="preserve"> 10,-</w:t>
        <w:tab/>
        <w:t>Kč,</w:t>
      </w:r>
    </w:p>
    <w:p>
      <w:pPr>
        <w:pStyle w:val="Style28"/>
        <w:numPr>
          <w:ilvl w:val="0"/>
          <w:numId w:val="13"/>
        </w:numPr>
        <w:tabs>
          <w:tab w:leader="none" w:pos="732" w:val="left"/>
          <w:tab w:leader="dot" w:pos="8771" w:val="right"/>
          <w:tab w:leader="none" w:pos="917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4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za umístění zařízení cirkusů </w:t>
        <w:tab/>
        <w:t xml:space="preserve"> 5,-</w:t>
        <w:tab/>
        <w:t>Kč,</w:t>
      </w:r>
    </w:p>
    <w:p>
      <w:pPr>
        <w:pStyle w:val="Style28"/>
        <w:numPr>
          <w:ilvl w:val="0"/>
          <w:numId w:val="13"/>
        </w:numPr>
        <w:tabs>
          <w:tab w:leader="none" w:pos="732" w:val="left"/>
          <w:tab w:leader="none" w:pos="5834" w:val="center"/>
          <w:tab w:leader="dot" w:pos="9172" w:val="right"/>
          <w:tab w:leader="none" w:pos="939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4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za umístění zařízení lunaparků a jiných obdobných</w:t>
        <w:tab/>
        <w:t>atrakcí</w:t>
        <w:tab/>
        <w:t xml:space="preserve"> 5,-</w:t>
        <w:tab/>
        <w:t>Kč,</w:t>
      </w:r>
    </w:p>
    <w:p>
      <w:pPr>
        <w:pStyle w:val="Style28"/>
        <w:numPr>
          <w:ilvl w:val="0"/>
          <w:numId w:val="13"/>
        </w:numPr>
        <w:tabs>
          <w:tab w:leader="none" w:pos="732" w:val="left"/>
          <w:tab w:leader="dot" w:pos="9172" w:val="right"/>
          <w:tab w:leader="none" w:pos="936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4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za umístění skládek</w:t>
        <w:tab/>
        <w:t>5,-</w:t>
        <w:tab/>
        <w:t>Kč</w:t>
      </w:r>
    </w:p>
    <w:p>
      <w:pPr>
        <w:pStyle w:val="Style28"/>
        <w:numPr>
          <w:ilvl w:val="0"/>
          <w:numId w:val="13"/>
        </w:numPr>
        <w:tabs>
          <w:tab w:leader="none" w:pos="732" w:val="left"/>
          <w:tab w:leader="none" w:pos="4836" w:val="center"/>
          <w:tab w:leader="dot" w:pos="8771" w:val="right"/>
          <w:tab w:leader="none" w:pos="917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4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za vyhrazení trvalého parkovacího místa</w:t>
        <w:tab/>
        <w:tab/>
        <w:t xml:space="preserve"> 10,-</w:t>
        <w:tab/>
        <w:t>Kč,</w:t>
      </w:r>
    </w:p>
    <w:p>
      <w:pPr>
        <w:pStyle w:val="Style28"/>
        <w:numPr>
          <w:ilvl w:val="0"/>
          <w:numId w:val="13"/>
        </w:numPr>
        <w:tabs>
          <w:tab w:leader="none" w:pos="732" w:val="left"/>
          <w:tab w:leader="dot" w:pos="8771" w:val="right"/>
          <w:tab w:leader="none" w:pos="917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4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za užívání pro reklamní akce</w:t>
        <w:tab/>
        <w:t xml:space="preserve"> 10,-</w:t>
        <w:tab/>
        <w:t>Kč,</w:t>
      </w:r>
    </w:p>
    <w:p>
      <w:pPr>
        <w:pStyle w:val="Style28"/>
        <w:numPr>
          <w:ilvl w:val="0"/>
          <w:numId w:val="13"/>
        </w:numPr>
        <w:tabs>
          <w:tab w:leader="none" w:pos="799" w:val="left"/>
          <w:tab w:leader="none" w:pos="4826" w:val="center"/>
          <w:tab w:leader="none" w:pos="5255" w:val="center"/>
          <w:tab w:leader="none" w:pos="6138" w:val="center"/>
          <w:tab w:leader="dot" w:pos="8771" w:val="right"/>
          <w:tab w:leader="none" w:pos="917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4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za užívání pro potřeby tvorby filmových</w:t>
        <w:tab/>
        <w:t>a</w:t>
        <w:tab/>
        <w:t>televizních</w:t>
        <w:tab/>
        <w:t xml:space="preserve">děl </w:t>
        <w:tab/>
        <w:t xml:space="preserve"> 10,-</w:t>
        <w:tab/>
        <w:t>Kč.</w:t>
      </w:r>
    </w:p>
    <w:p>
      <w:pPr>
        <w:pStyle w:val="Style28"/>
        <w:numPr>
          <w:ilvl w:val="0"/>
          <w:numId w:val="11"/>
        </w:numPr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40" w:right="0" w:hanging="34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Stanovuje se paušální částka poplatku:</w:t>
      </w:r>
    </w:p>
    <w:p>
      <w:pPr>
        <w:pStyle w:val="Style28"/>
        <w:numPr>
          <w:ilvl w:val="0"/>
          <w:numId w:val="15"/>
        </w:numPr>
        <w:tabs>
          <w:tab w:leader="none" w:pos="713" w:val="left"/>
          <w:tab w:leader="dot" w:pos="8771" w:val="right"/>
          <w:tab w:leader="none" w:pos="917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4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týdenní za provádění výkopových prací</w:t>
        <w:tab/>
        <w:t xml:space="preserve"> 300,-</w:t>
        <w:tab/>
        <w:t>Kč,</w:t>
      </w:r>
    </w:p>
    <w:p>
      <w:pPr>
        <w:pStyle w:val="Style28"/>
        <w:numPr>
          <w:ilvl w:val="0"/>
          <w:numId w:val="15"/>
        </w:numPr>
        <w:tabs>
          <w:tab w:leader="none" w:pos="727" w:val="left"/>
          <w:tab w:leader="dot" w:pos="8771" w:val="right"/>
          <w:tab w:leader="none" w:pos="917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4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měsíční za umístění stavebního zařízení </w:t>
        <w:tab/>
        <w:t xml:space="preserve"> 500,-</w:t>
        <w:tab/>
        <w:t>Kč,</w:t>
      </w:r>
    </w:p>
    <w:p>
      <w:pPr>
        <w:pStyle w:val="Style28"/>
        <w:numPr>
          <w:ilvl w:val="0"/>
          <w:numId w:val="15"/>
        </w:numPr>
        <w:tabs>
          <w:tab w:leader="none" w:pos="727" w:val="left"/>
          <w:tab w:leader="dot" w:pos="8771" w:val="right"/>
          <w:tab w:leader="none" w:pos="9172" w:val="right"/>
        </w:tabs>
        <w:widowControl w:val="0"/>
        <w:keepNext w:val="0"/>
        <w:keepLines w:val="0"/>
        <w:shd w:val="clear" w:color="auto" w:fill="auto"/>
        <w:bidi w:val="0"/>
        <w:spacing w:before="0" w:after="282"/>
        <w:ind w:left="34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roční za vyhrazení trvalého parkovacího místa</w:t>
        <w:tab/>
        <w:t xml:space="preserve"> 500,-</w:t>
        <w:tab/>
        <w:t>Kč.</w:t>
      </w:r>
    </w:p>
    <w:p>
      <w:pPr>
        <w:pStyle w:val="Style37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10" w:name="bookmark10"/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ČI. 6</w:t>
      </w:r>
      <w:bookmarkEnd w:id="10"/>
    </w:p>
    <w:p>
      <w:pPr>
        <w:pStyle w:val="Style26"/>
        <w:widowControl w:val="0"/>
        <w:keepNext/>
        <w:keepLines/>
        <w:shd w:val="clear" w:color="auto" w:fill="auto"/>
        <w:bidi w:val="0"/>
        <w:spacing w:before="0" w:after="274"/>
        <w:ind w:left="0" w:right="0" w:firstLine="0"/>
      </w:pPr>
      <w:bookmarkStart w:id="11" w:name="bookmark11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Osvobození od poplatku</w:t>
      </w:r>
      <w:bookmarkEnd w:id="11"/>
    </w:p>
    <w:p>
      <w:pPr>
        <w:pStyle w:val="Style28"/>
        <w:numPr>
          <w:ilvl w:val="0"/>
          <w:numId w:val="17"/>
        </w:numPr>
        <w:tabs>
          <w:tab w:leader="none" w:pos="36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340" w:right="0" w:hanging="34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Důvody osvobození od poplatku stanoví zákon o místních poplatcích.</w:t>
      </w: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erence w:id="11"/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*</w:t>
      </w:r>
    </w:p>
    <w:p>
      <w:pPr>
        <w:pStyle w:val="Style28"/>
        <w:numPr>
          <w:ilvl w:val="0"/>
          <w:numId w:val="17"/>
        </w:numPr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340" w:right="0" w:hanging="34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Dále se od poplatku osvobozují:</w:t>
      </w:r>
    </w:p>
    <w:p>
      <w:pPr>
        <w:pStyle w:val="Style28"/>
        <w:numPr>
          <w:ilvl w:val="0"/>
          <w:numId w:val="19"/>
        </w:numPr>
        <w:tabs>
          <w:tab w:leader="none" w:pos="708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34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obec Měcholupy,</w:t>
      </w:r>
    </w:p>
    <w:p>
      <w:pPr>
        <w:pStyle w:val="Style28"/>
        <w:numPr>
          <w:ilvl w:val="0"/>
          <w:numId w:val="19"/>
        </w:numPr>
        <w:tabs>
          <w:tab w:leader="none" w:pos="727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34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pořadatelé akcí pořádaných bez vstupného.</w:t>
      </w:r>
      <w:r>
        <w:br w:type="page"/>
      </w:r>
    </w:p>
    <w:p>
      <w:pPr>
        <w:pStyle w:val="Style39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12" w:name="bookmark12"/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ČI. 7</w:t>
      </w:r>
      <w:bookmarkEnd w:id="12"/>
    </w:p>
    <w:p>
      <w:pPr>
        <w:pStyle w:val="Style26"/>
        <w:widowControl w:val="0"/>
        <w:keepNext/>
        <w:keepLines/>
        <w:shd w:val="clear" w:color="auto" w:fill="auto"/>
        <w:bidi w:val="0"/>
        <w:spacing w:before="0" w:after="278"/>
        <w:ind w:left="0" w:right="0" w:firstLine="0"/>
      </w:pPr>
      <w:bookmarkStart w:id="13" w:name="bookmark13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Splatnost poplatku</w:t>
      </w:r>
      <w:bookmarkEnd w:id="13"/>
    </w:p>
    <w:p>
      <w:pPr>
        <w:pStyle w:val="Style28"/>
        <w:numPr>
          <w:ilvl w:val="0"/>
          <w:numId w:val="21"/>
        </w:numPr>
        <w:tabs>
          <w:tab w:leader="none" w:pos="35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80" w:right="0" w:hanging="38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Poplatek je splatný:</w:t>
      </w:r>
    </w:p>
    <w:p>
      <w:pPr>
        <w:pStyle w:val="Style28"/>
        <w:numPr>
          <w:ilvl w:val="0"/>
          <w:numId w:val="23"/>
        </w:numPr>
        <w:tabs>
          <w:tab w:leader="none" w:pos="74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40" w:right="0" w:hanging="36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nepřesáhne-li užívání do více kalendářních let, nejpozději do 15 dnů od ukončení užívání veřejného prostranství,</w:t>
      </w:r>
    </w:p>
    <w:p>
      <w:pPr>
        <w:pStyle w:val="Style28"/>
        <w:numPr>
          <w:ilvl w:val="0"/>
          <w:numId w:val="23"/>
        </w:numPr>
        <w:tabs>
          <w:tab w:leader="none" w:pos="76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40" w:right="0" w:hanging="36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přesáhne-li užívání do více kalendářních let, příslušná část za každý kalendářní rok nej později do konce každého příslušného kalendářního roku a za kalendářní rok, ve kterém bylo užívání veřejného prostranství ukončeno, nejpozději do 15 dnů od ukončení užívání veřejného prostranství.</w:t>
      </w:r>
    </w:p>
    <w:p>
      <w:pPr>
        <w:pStyle w:val="Style28"/>
        <w:numPr>
          <w:ilvl w:val="0"/>
          <w:numId w:val="21"/>
        </w:numPr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80" w:right="0" w:hanging="38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Poplatek stanovený týdenní a měsíční paušální částkou je splatný nejpozději do 7 dnů od počátku každého týdenního nebo měsíčního poplatkového období. Ve stejné lhůtě je možné zaplatit i za více poplatkových období dopředu.</w:t>
      </w:r>
    </w:p>
    <w:p>
      <w:pPr>
        <w:pStyle w:val="Style28"/>
        <w:numPr>
          <w:ilvl w:val="0"/>
          <w:numId w:val="21"/>
        </w:numPr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80" w:right="0" w:hanging="38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Poplatek stanovený roční paušální částkou je splatný do 15 dnů od počátku každého ročního poplatkového období.</w:t>
      </w:r>
    </w:p>
    <w:p>
      <w:pPr>
        <w:pStyle w:val="Style28"/>
        <w:numPr>
          <w:ilvl w:val="0"/>
          <w:numId w:val="21"/>
        </w:numPr>
        <w:tabs>
          <w:tab w:leader="none" w:pos="387" w:val="left"/>
        </w:tabs>
        <w:widowControl w:val="0"/>
        <w:keepNext w:val="0"/>
        <w:keepLines w:val="0"/>
        <w:shd w:val="clear" w:color="auto" w:fill="auto"/>
        <w:bidi w:val="0"/>
        <w:spacing w:before="0" w:after="300"/>
        <w:ind w:left="380" w:right="0" w:hanging="38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Připadne-li lhůta splatnosti na sobotu, neděli nebo státem uznaný svátek, je dnem, ve kterém je poplatník povinen svoji povinnost splnit, nejblíže následující pracovní den.</w:t>
      </w:r>
    </w:p>
    <w:p>
      <w:pPr>
        <w:pStyle w:val="Style41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14" w:name="bookmark14"/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ČI. 8</w:t>
      </w:r>
      <w:bookmarkEnd w:id="14"/>
    </w:p>
    <w:p>
      <w:pPr>
        <w:pStyle w:val="Style26"/>
        <w:widowControl w:val="0"/>
        <w:keepNext/>
        <w:keepLines/>
        <w:shd w:val="clear" w:color="auto" w:fill="auto"/>
        <w:bidi w:val="0"/>
        <w:spacing w:before="0" w:after="274"/>
        <w:ind w:left="0" w:right="0" w:firstLine="0"/>
      </w:pPr>
      <w:bookmarkStart w:id="15" w:name="bookmark15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Ustanovení závěrečná</w:t>
      </w:r>
      <w:bookmarkEnd w:id="15"/>
    </w:p>
    <w:p>
      <w:pPr>
        <w:pStyle w:val="Style28"/>
        <w:numPr>
          <w:ilvl w:val="0"/>
          <w:numId w:val="25"/>
        </w:numPr>
        <w:tabs>
          <w:tab w:leader="none" w:pos="358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380" w:right="0" w:hanging="38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Nebude-li poplatek zaplacen poplatníkem včas nebo ve správné výši, vyměří mu správce poplatku poplatek platebním výměrem nebo hromadným předpisným seznamem.</w:t>
      </w: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111</w:t>
      </w:r>
    </w:p>
    <w:p>
      <w:pPr>
        <w:pStyle w:val="Style28"/>
        <w:numPr>
          <w:ilvl w:val="0"/>
          <w:numId w:val="25"/>
        </w:numPr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spacing w:before="0" w:after="280" w:line="274" w:lineRule="exact"/>
        <w:ind w:left="380" w:right="0" w:hanging="38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Včas nezaplacené poplatky nebo část těchto poplatků může správce poplatku zvýšit až na trojnásobek; toto zvýšení je příslušenstvím poplatku.</w:t>
      </w: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erence w:id="12"/>
      </w: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 </w:t>
      </w: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erence w:id="13"/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’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spacing w:before="0" w:after="304"/>
        <w:ind w:left="0" w:right="0" w:firstLine="0"/>
      </w:pPr>
      <w:r>
        <w:rPr>
          <w:rStyle w:val="CharStyle45"/>
          <w:b/>
          <w:bCs/>
        </w:rPr>
        <w:t>ČI. 9</w:t>
        <w:br/>
      </w: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Účinnost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spacing w:before="0" w:after="0" w:line="244" w:lineRule="exact"/>
        <w:ind w:left="380" w:right="0" w:hanging="38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0.6pt;margin-top:105.2pt;width:101.75pt;height:30.25pt;z-index:-125829376;mso-wrap-distance-left:40.55pt;mso-wrap-distance-right:40.1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cs-CZ" w:eastAsia="cs-CZ" w:bidi="cs-CZ"/>
                      <w:rFonts w:ascii="Times New Roman" w:eastAsia="Times New Roman" w:hAnsi="Times New Roman" w:cs="Times New Roman"/>
                      <w:w w:val="100"/>
                      <w:spacing w:val="0"/>
                      <w:color w:val="000000"/>
                      <w:position w:val="0"/>
                    </w:rPr>
                    <w:t>'oris Černíková, DiS. starostka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7" type="#_x0000_t202" style="position:absolute;margin-left:147.pt;margin-top:106.4pt;width:30.pt;height:15.1pt;z-index:-125829375;mso-wrap-distance-left:40.55pt;mso-wrap-distance-right:40.1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4" w:lineRule="exact"/>
                    <w:ind w:left="0" w:right="0" w:firstLine="0"/>
                  </w:pPr>
                  <w:r>
                    <w:rPr>
                      <w:lang w:val="cs-CZ" w:eastAsia="cs-CZ" w:bidi="cs-CZ"/>
                      <w:rFonts w:ascii="Times New Roman" w:eastAsia="Times New Roman" w:hAnsi="Times New Roman" w:cs="Times New Roman"/>
                      <w:w w:val="100"/>
                      <w:spacing w:val="0"/>
                      <w:color w:val="000000"/>
                      <w:position w:val="0"/>
                    </w:rPr>
                    <w:t>'ttlová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8" type="#_x0000_t202" style="position:absolute;margin-left:52.65pt;margin-top:106.4pt;width:45.85pt;height:15.35pt;z-index:-125829374;mso-wrap-distance-left:40.55pt;mso-wrap-distance-right:40.1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4" w:lineRule="exact"/>
                    <w:ind w:left="0" w:right="0" w:firstLine="0"/>
                  </w:pPr>
                  <w:r>
                    <w:rPr>
                      <w:lang w:val="cs-CZ" w:eastAsia="cs-CZ" w:bidi="cs-CZ"/>
                      <w:rFonts w:ascii="Times New Roman" w:eastAsia="Times New Roman" w:hAnsi="Times New Roman" w:cs="Times New Roman"/>
                      <w:w w:val="100"/>
                      <w:spacing w:val="0"/>
                      <w:color w:val="000000"/>
                      <w:position w:val="0"/>
                    </w:rPr>
                    <w:t>MUDr. R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9" type="#_x0000_t202" style="position:absolute;margin-left:78.6pt;margin-top:121.3pt;width:72.7pt;height:14.15pt;z-index:-125829373;mso-wrap-distance-left:40.55pt;mso-wrap-distance-right:40.1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4" w:lineRule="exact"/>
                    <w:ind w:left="0" w:right="0" w:firstLine="0"/>
                  </w:pPr>
                  <w:r>
                    <w:rPr>
                      <w:lang w:val="cs-CZ" w:eastAsia="cs-CZ" w:bidi="cs-CZ"/>
                      <w:rFonts w:ascii="Times New Roman" w:eastAsia="Times New Roman" w:hAnsi="Times New Roman" w:cs="Times New Roman"/>
                      <w:w w:val="100"/>
                      <w:spacing w:val="0"/>
                      <w:color w:val="000000"/>
                      <w:position w:val="0"/>
                    </w:rPr>
                    <w:t>místos tařostka</w:t>
                  </w:r>
                </w:p>
              </w:txbxContent>
            </v:textbox>
            <w10:wrap type="topAndBottom"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42.1pt;margin-top:47.05pt;width:378.7pt;height:122.9pt;z-index:-125829372;mso-wrap-distance-left:40.55pt;mso-wrap-distance-right:40.1pt;mso-position-horizontal-relative:margin">
            <v:imagedata r:id="rId5" r:href="rId6"/>
            <w10:wrap type="topAndBottom" anchorx="margin"/>
          </v:shape>
        </w:pic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Tato vyhláška nabývá účinnosti z důvodu naléhavého obecného zájmu dnem vyhlášení.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spacing w:before="0" w:after="0" w:line="547" w:lineRule="exact"/>
        <w:ind w:left="0" w:right="0" w:firstLine="0"/>
        <w:sectPr>
          <w:type w:val="continuous"/>
          <w:pgSz w:w="12461" w:h="20280"/>
          <w:pgMar w:top="1036" w:left="1704" w:right="1506" w:bottom="4540" w:header="0" w:footer="3" w:gutter="0"/>
          <w:rtlGutter w:val="0"/>
          <w:cols w:space="720"/>
          <w:noEndnote/>
          <w:docGrid w:linePitch="360"/>
        </w:sectPr>
      </w:pPr>
      <w:r>
        <w:pict>
          <v:shape id="_x0000_s1031" type="#_x0000_t202" style="position:absolute;margin-left:180.85pt;margin-top:-10.7pt;width:81.85pt;height:50.35pt;z-index:-125829371;mso-wrap-distance-left:28.8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"/>
                    <w:tabs>
                      <w:tab w:leader="dot" w:pos="107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265"/>
                    <w:ind w:left="800" w:right="0" w:firstLine="0"/>
                  </w:pPr>
                  <w:r>
                    <w:rPr>
                      <w:lang w:val="cs-CZ" w:eastAsia="cs-CZ" w:bidi="cs-CZ"/>
                      <w:rFonts w:ascii="Times New Roman" w:eastAsia="Times New Roman" w:hAnsi="Times New Roman" w:cs="Times New Roman"/>
                      <w:w w:val="100"/>
                      <w:spacing w:val="0"/>
                      <w:color w:val="000000"/>
                      <w:position w:val="0"/>
                    </w:rPr>
                    <w:tab/>
                    <w:t>2011</w:t>
                  </w:r>
                </w:p>
                <w:p>
                  <w:pPr>
                    <w:pStyle w:val="Style10"/>
                    <w:tabs>
                      <w:tab w:leader="dot" w:pos="1061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12"/>
                      <w:b w:val="0"/>
                      <w:bCs w:val="0"/>
                      <w:i/>
                      <w:iCs/>
                    </w:rPr>
                    <w:t>tt.Ql-.</w:t>
                  </w:r>
                  <w:r>
                    <w:rPr>
                      <w:rStyle w:val="CharStyle13"/>
                      <w:lang w:val="cs-CZ" w:eastAsia="cs-CZ" w:bidi="cs-CZ"/>
                      <w:i w:val="0"/>
                      <w:iCs w:val="0"/>
                    </w:rPr>
                    <w:tab/>
                  </w:r>
                  <w:r>
                    <w:rPr>
                      <w:rStyle w:val="CharStyle14"/>
                      <w:i w:val="0"/>
                      <w:iCs w:val="0"/>
                    </w:rPr>
                    <w:t>2011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Vyvěšeno na úřední desce dne: Sejmuto z úřední desky dne:</w:t>
      </w:r>
    </w:p>
    <w:p>
      <w:pPr>
        <w:pStyle w:val="Style2"/>
        <w:tabs>
          <w:tab w:leader="none" w:pos="23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určen na charitativní a veřejně prospěšné účely, se poplatek neplatí. Poplatku za užívání veřejného prostranství spočívajícího ve vyhrazení trvalého parkovacího místa nepodléhají osoby zdravotně postižené.</w:t>
      </w: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11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)</w:t>
      </w:r>
    </w:p>
    <w:sectPr>
      <w:type w:val="continuous"/>
      <w:pgSz w:w="12461" w:h="20280"/>
      <w:pgMar w:top="1036" w:left="1704" w:right="1506" w:bottom="454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Style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"/>
          <w:vertAlign w:val="superscript"/>
        </w:rPr>
        <w:t>11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 § 1 písm. c) a § 4 zákona o místních poplatcích</w:t>
      </w:r>
    </w:p>
  </w:footnote>
  <w:footnote w:id="3">
    <w:p>
      <w:pPr>
        <w:pStyle w:val="Style2"/>
        <w:tabs>
          <w:tab w:leader="none" w:pos="17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/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ab/>
        <w:t>§ 14 odst. 3 zákona o místních poplatcích</w:t>
      </w:r>
    </w:p>
  </w:footnote>
  <w:footnote w:id="4">
    <w:p>
      <w:pPr>
        <w:pStyle w:val="Style2"/>
        <w:tabs>
          <w:tab w:leader="none" w:pos="17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/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ab/>
        <w:t>§ 4 odst. 1 zákona o místních poplatcích</w:t>
      </w:r>
    </w:p>
  </w:footnote>
  <w:footnote w:id="5">
    <w:p>
      <w:pPr>
        <w:pStyle w:val="Style2"/>
        <w:tabs>
          <w:tab w:leader="none" w:pos="17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/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ab/>
        <w:t>§ 4 odst. 2 zákona o místních poplatcích</w:t>
      </w:r>
    </w:p>
  </w:footnote>
  <w:footnote w:id="6">
    <w:p>
      <w:pPr>
        <w:pStyle w:val="Style2"/>
        <w:tabs>
          <w:tab w:leader="none" w:pos="17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/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ab/>
        <w:t>§ 34 zákona o obcích („Veřejným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11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)</w:t>
      </w:r>
    </w:p>
  </w:footnote>
  <w:footnote w:id="7">
    <w:p>
      <w:pPr>
        <w:pStyle w:val="Style2"/>
        <w:tabs>
          <w:tab w:leader="none" w:pos="17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/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ab/>
        <w:t>§ 71 odst. 1 zákona č. 280/2009 Sb., daňový řád (dále jen „daňový řád“) - „Podání lze učinit písemně, ústně do protokolu nebo datovou zprávou, která je opatřena uznávaným elektronickým podpisem, nebo která je odeslána prostřednictvím datové schránky.</w:t>
      </w: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11</w:t>
      </w:r>
    </w:p>
  </w:footnote>
  <w:footnote w:id="8">
    <w:p>
      <w:pPr>
        <w:pStyle w:val="Style2"/>
        <w:tabs>
          <w:tab w:leader="none" w:pos="1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/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ab/>
        <w:t>§ 14a odst. 1 a 2 zákona o místních poplatcích:</w:t>
      </w:r>
    </w:p>
    <w:p>
      <w:pPr>
        <w:pStyle w:val="Style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32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„V ohlášení poplatník nebo plátce uvede</w:t>
      </w:r>
    </w:p>
    <w:p>
      <w:pPr>
        <w:pStyle w:val="Style2"/>
        <w:numPr>
          <w:ilvl w:val="0"/>
          <w:numId w:val="1"/>
        </w:numPr>
        <w:tabs>
          <w:tab w:leader="none" w:pos="5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32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jméno, popřípadě jména, a příjmení nebo název nebo obchodní firmu, obecný identifikátor, byl-li přidělen, místo pobytu nebo sídlo, místo podnikání, popřípadě další adresu pro doručování; právnická osoba uvede též osoby, které jsou jejím jménem oprávněny jednat v poplatkových věcech,</w:t>
      </w:r>
    </w:p>
    <w:p>
      <w:pPr>
        <w:pStyle w:val="Style2"/>
        <w:numPr>
          <w:ilvl w:val="0"/>
          <w:numId w:val="1"/>
        </w:numPr>
        <w:tabs>
          <w:tab w:leader="none" w:pos="55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32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>
      <w:pPr>
        <w:pStyle w:val="Style2"/>
        <w:numPr>
          <w:ilvl w:val="0"/>
          <w:numId w:val="1"/>
        </w:numPr>
        <w:tabs>
          <w:tab w:leader="none" w:pos="5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32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údaje rozhodné pro stanovení výše poplatkové povinnosti (např. místo, způsob užívání, předpokládanou dobu a výměru)</w:t>
      </w:r>
    </w:p>
    <w:p>
      <w:pPr>
        <w:pStyle w:val="Style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32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Poplatník nebo plátce, který nemá sídlo nebo bydliště na území členského státu Evropské unie, jiného smluvního státu Dohody o Evropském hospodářském prostoru nebo Švýcarské konfederace, uvede kromě údajů požadovaných výše i adresu svého zmocněnce v tuzemsku pro doručování."</w:t>
      </w:r>
    </w:p>
  </w:footnote>
  <w:footnote w:id="9">
    <w:p>
      <w:pPr>
        <w:pStyle w:val="Style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"/>
          <w:vertAlign w:val="superscript"/>
        </w:rPr>
        <w:t>H&gt;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 včetně zániku poplatkové povinnosti</w:t>
      </w:r>
    </w:p>
  </w:footnote>
  <w:footnote w:id="10">
    <w:p>
      <w:pPr>
        <w:pStyle w:val="Style2"/>
        <w:tabs>
          <w:tab w:leader="none" w:pos="1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/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ab/>
        <w:t>§ 14a odst. 3 zákona o místních poplatcích</w:t>
      </w:r>
    </w:p>
  </w:footnote>
  <w:footnote w:id="11">
    <w:p>
      <w:pPr>
        <w:pStyle w:val="Style2"/>
        <w:tabs>
          <w:tab w:leader="none" w:pos="23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/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ab/>
        <w:t>§ 4 odst. 1 a 3 zákona o místních poplatcích („Z akcí pořádaných na veřejném prostranství, jejichž výtěžek je</w:t>
      </w:r>
    </w:p>
  </w:footnote>
  <w:footnote w:id="12">
    <w:p>
      <w:pPr>
        <w:pStyle w:val="Style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n)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 § 11 odst. 1 zákona o místních poplatcích</w:t>
      </w:r>
    </w:p>
  </w:footnote>
  <w:footnote w:id="13">
    <w:p>
      <w:pPr>
        <w:pStyle w:val="Style2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/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 § 11 odst. 3 zákona o místních poplatcích</w:t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lowerLetter"/>
      <w:lvlText w:val="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4"/>
      <w:numFmt w:val="lowerLetter"/>
      <w:lvlText w:val="%1)"/>
      <w:rPr>
        <w:lang w:val="cs-CZ" w:eastAsia="cs-CZ" w:bidi="cs-CZ"/>
        <w:b w:val="0"/>
        <w:bCs w:val="0"/>
        <w:i/>
        <w:iCs/>
        <w:u w:val="none"/>
        <w:strike w:val="0"/>
        <w:smallCaps w:val="0"/>
        <w:sz w:val="23"/>
        <w:szCs w:val="23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2"/>
      <w:numFmt w:val="decimal"/>
      <w:lvlText w:val="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decimal"/>
      <w:lvlText w:val="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lowerLetter"/>
      <w:lvlText w:val="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"/>
      <w:numFmt w:val="lowerLetter"/>
      <w:lvlText w:val="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1"/>
      <w:numFmt w:val="decimal"/>
      <w:lvlText w:val="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8">
    <w:multiLevelType w:val="multilevel"/>
    <w:lvl w:ilvl="0">
      <w:start w:val="1"/>
      <w:numFmt w:val="lowerLetter"/>
      <w:lvlText w:val="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0">
    <w:multiLevelType w:val="multilevel"/>
    <w:lvl w:ilvl="0">
      <w:start w:val="1"/>
      <w:numFmt w:val="decimal"/>
      <w:lvlText w:val="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2">
    <w:multiLevelType w:val="multilevel"/>
    <w:lvl w:ilvl="0">
      <w:start w:val="1"/>
      <w:numFmt w:val="lowerLetter"/>
      <w:lvlText w:val="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4">
    <w:multiLevelType w:val="multilevel"/>
    <w:lvl w:ilvl="0">
      <w:start w:val="1"/>
      <w:numFmt w:val="decimal"/>
      <w:lvlText w:val="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cs-CZ" w:eastAsia="cs-CZ" w:bidi="cs-CZ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cs-CZ" w:eastAsia="cs-CZ" w:bidi="cs-CZ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">
    <w:name w:val="Char Style 3"/>
    <w:basedOn w:val="DefaultParagraphFont"/>
    <w:link w:val="Style2"/>
    <w:rPr>
      <w:b w:val="0"/>
      <w:bCs w:val="0"/>
      <w:i w:val="0"/>
      <w:iCs w:val="0"/>
      <w:u w:val="none"/>
      <w:strike w:val="0"/>
      <w:smallCaps w:val="0"/>
      <w:sz w:val="19"/>
      <w:szCs w:val="19"/>
    </w:rPr>
  </w:style>
  <w:style w:type="character" w:customStyle="1" w:styleId="CharStyle4">
    <w:name w:val="Char Style 4"/>
    <w:basedOn w:val="CharStyle3"/>
    <w:rPr>
      <w:lang w:val="cs-CZ" w:eastAsia="cs-CZ" w:bidi="cs-CZ"/>
      <w:i/>
      <w:iCs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5">
    <w:name w:val="Char Style 5"/>
    <w:basedOn w:val="CharStyle3"/>
    <w:rPr>
      <w:lang w:val="cs-CZ" w:eastAsia="cs-CZ" w:bidi="cs-CZ"/>
      <w:i/>
      <w:iCs/>
      <w:rFonts w:ascii="Times New Roman" w:eastAsia="Times New Roman" w:hAnsi="Times New Roman" w:cs="Times New Roman"/>
      <w:w w:val="100"/>
      <w:spacing w:val="10"/>
      <w:color w:val="000000"/>
      <w:position w:val="0"/>
    </w:rPr>
  </w:style>
  <w:style w:type="character" w:customStyle="1" w:styleId="CharStyle7">
    <w:name w:val="Char Style 7 Exact"/>
    <w:basedOn w:val="DefaultParagraphFont"/>
    <w:link w:val="Style6"/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character" w:customStyle="1" w:styleId="CharStyle9">
    <w:name w:val="Char Style 9 Exact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character" w:customStyle="1" w:styleId="CharStyle11">
    <w:name w:val="Char Style 11 Exact"/>
    <w:basedOn w:val="DefaultParagraphFont"/>
    <w:link w:val="Style10"/>
    <w:rPr>
      <w:b w:val="0"/>
      <w:bCs w:val="0"/>
      <w:i/>
      <w:iCs/>
      <w:u w:val="none"/>
      <w:strike w:val="0"/>
      <w:smallCaps w:val="0"/>
      <w:sz w:val="26"/>
      <w:szCs w:val="26"/>
    </w:rPr>
  </w:style>
  <w:style w:type="character" w:customStyle="1" w:styleId="CharStyle12">
    <w:name w:val="Char Style 12 Exact"/>
    <w:basedOn w:val="CharStyle11"/>
    <w:rPr>
      <w:lang w:val="cs-CZ" w:eastAsia="cs-CZ" w:bidi="cs-CZ"/>
      <w:rFonts w:ascii="Times New Roman" w:eastAsia="Times New Roman" w:hAnsi="Times New Roman" w:cs="Times New Roman"/>
      <w:w w:val="100"/>
      <w:spacing w:val="0"/>
      <w:color w:val="766CB5"/>
      <w:position w:val="0"/>
    </w:rPr>
  </w:style>
  <w:style w:type="character" w:customStyle="1" w:styleId="CharStyle13">
    <w:name w:val="Char Style 13 Exact"/>
    <w:basedOn w:val="CharStyle11"/>
    <w:rPr>
      <w:lang w:val="1024"/>
      <w:b/>
      <w:bCs/>
      <w:i/>
      <w:iCs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4">
    <w:name w:val="Char Style 14 Exact"/>
    <w:basedOn w:val="CharStyle11"/>
    <w:rPr>
      <w:lang w:val="cs-CZ" w:eastAsia="cs-CZ" w:bidi="cs-CZ"/>
      <w:b/>
      <w:bCs/>
      <w:i/>
      <w:iCs/>
      <w:sz w:val="22"/>
      <w:szCs w:val="2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6">
    <w:name w:val="Char Style 16"/>
    <w:basedOn w:val="DefaultParagraphFont"/>
    <w:link w:val="Style15"/>
    <w:rPr>
      <w:b/>
      <w:bCs/>
      <w:i w:val="0"/>
      <w:iCs w:val="0"/>
      <w:u w:val="none"/>
      <w:strike w:val="0"/>
      <w:smallCaps w:val="0"/>
      <w:sz w:val="38"/>
      <w:szCs w:val="38"/>
      <w:spacing w:val="80"/>
    </w:rPr>
  </w:style>
  <w:style w:type="character" w:customStyle="1" w:styleId="CharStyle18">
    <w:name w:val="Char Style 18"/>
    <w:basedOn w:val="DefaultParagraphFont"/>
    <w:link w:val="Style17"/>
    <w:rPr>
      <w:b/>
      <w:bCs/>
      <w:i w:val="0"/>
      <w:iCs w:val="0"/>
      <w:u w:val="none"/>
      <w:strike w:val="0"/>
      <w:smallCaps w:val="0"/>
      <w:sz w:val="30"/>
      <w:szCs w:val="30"/>
    </w:rPr>
  </w:style>
  <w:style w:type="character" w:customStyle="1" w:styleId="CharStyle20">
    <w:name w:val="Char Style 20"/>
    <w:basedOn w:val="DefaultParagraphFont"/>
    <w:link w:val="Style19"/>
    <w:rPr>
      <w:b/>
      <w:bCs/>
      <w:i w:val="0"/>
      <w:iCs w:val="0"/>
      <w:u w:val="none"/>
      <w:strike w:val="0"/>
      <w:smallCaps w:val="0"/>
      <w:sz w:val="28"/>
      <w:szCs w:val="28"/>
    </w:rPr>
  </w:style>
  <w:style w:type="character" w:customStyle="1" w:styleId="CharStyle22">
    <w:name w:val="Char Style 22"/>
    <w:basedOn w:val="DefaultParagraphFont"/>
    <w:link w:val="Style21"/>
    <w:rPr>
      <w:b w:val="0"/>
      <w:bCs w:val="0"/>
      <w:i/>
      <w:iCs/>
      <w:u w:val="none"/>
      <w:strike w:val="0"/>
      <w:smallCaps w:val="0"/>
      <w:sz w:val="23"/>
      <w:szCs w:val="23"/>
    </w:rPr>
  </w:style>
  <w:style w:type="character" w:customStyle="1" w:styleId="CharStyle23">
    <w:name w:val="Char Style 23"/>
    <w:basedOn w:val="CharStyle22"/>
    <w:rPr>
      <w:lang w:val="cs-CZ" w:eastAsia="cs-CZ" w:bidi="cs-CZ"/>
      <w:i/>
      <w:iCs/>
      <w:sz w:val="22"/>
      <w:szCs w:val="2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5">
    <w:name w:val="Char Style 25"/>
    <w:basedOn w:val="DefaultParagraphFont"/>
    <w:link w:val="Style24"/>
    <w:rPr>
      <w:b w:val="0"/>
      <w:bCs w:val="0"/>
      <w:i w:val="0"/>
      <w:iCs w:val="0"/>
      <w:u w:val="none"/>
      <w:strike w:val="0"/>
      <w:smallCaps w:val="0"/>
      <w:sz w:val="28"/>
      <w:szCs w:val="28"/>
    </w:rPr>
  </w:style>
  <w:style w:type="character" w:customStyle="1" w:styleId="CharStyle27">
    <w:name w:val="Char Style 27"/>
    <w:basedOn w:val="DefaultParagraphFont"/>
    <w:link w:val="Style26"/>
    <w:rPr>
      <w:b/>
      <w:bCs/>
      <w:i w:val="0"/>
      <w:iCs w:val="0"/>
      <w:u w:val="none"/>
      <w:strike w:val="0"/>
      <w:smallCaps w:val="0"/>
    </w:rPr>
  </w:style>
  <w:style w:type="character" w:customStyle="1" w:styleId="CharStyle29">
    <w:name w:val="Char Style 29"/>
    <w:basedOn w:val="DefaultParagraphFont"/>
    <w:link w:val="Style28"/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character" w:customStyle="1" w:styleId="CharStyle31">
    <w:name w:val="Char Style 31"/>
    <w:basedOn w:val="DefaultParagraphFont"/>
    <w:link w:val="Style30"/>
    <w:rPr>
      <w:b/>
      <w:bCs/>
      <w:i w:val="0"/>
      <w:iCs w:val="0"/>
      <w:u w:val="none"/>
      <w:strike w:val="0"/>
      <w:smallCaps w:val="0"/>
      <w:sz w:val="24"/>
      <w:szCs w:val="24"/>
    </w:rPr>
  </w:style>
  <w:style w:type="character" w:customStyle="1" w:styleId="CharStyle33">
    <w:name w:val="Char Style 33"/>
    <w:basedOn w:val="DefaultParagraphFont"/>
    <w:link w:val="Style32"/>
    <w:rPr>
      <w:b/>
      <w:bCs/>
      <w:i w:val="0"/>
      <w:iCs w:val="0"/>
      <w:u w:val="none"/>
      <w:strike w:val="0"/>
      <w:smallCaps w:val="0"/>
      <w:sz w:val="24"/>
      <w:szCs w:val="24"/>
    </w:rPr>
  </w:style>
  <w:style w:type="character" w:customStyle="1" w:styleId="CharStyle35">
    <w:name w:val="Char Style 35"/>
    <w:basedOn w:val="DefaultParagraphFont"/>
    <w:link w:val="Style34"/>
    <w:rPr>
      <w:b/>
      <w:bCs/>
      <w:i w:val="0"/>
      <w:iCs w:val="0"/>
      <w:u w:val="none"/>
      <w:strike w:val="0"/>
      <w:smallCaps w:val="0"/>
      <w:sz w:val="24"/>
      <w:szCs w:val="24"/>
    </w:rPr>
  </w:style>
  <w:style w:type="character" w:customStyle="1" w:styleId="CharStyle36">
    <w:name w:val="Char Style 36"/>
    <w:basedOn w:val="CharStyle35"/>
    <w:rPr>
      <w:lang w:val="cs-CZ" w:eastAsia="cs-CZ" w:bidi="cs-CZ"/>
      <w:b/>
      <w:bCs/>
      <w:sz w:val="22"/>
      <w:szCs w:val="2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8">
    <w:name w:val="Char Style 38"/>
    <w:basedOn w:val="DefaultParagraphFont"/>
    <w:link w:val="Style37"/>
    <w:rPr>
      <w:b/>
      <w:bCs/>
      <w:i w:val="0"/>
      <w:iCs w:val="0"/>
      <w:u w:val="none"/>
      <w:strike w:val="0"/>
      <w:smallCaps w:val="0"/>
      <w:sz w:val="24"/>
      <w:szCs w:val="24"/>
    </w:rPr>
  </w:style>
  <w:style w:type="character" w:customStyle="1" w:styleId="CharStyle40">
    <w:name w:val="Char Style 40"/>
    <w:basedOn w:val="DefaultParagraphFont"/>
    <w:link w:val="Style39"/>
    <w:rPr>
      <w:b/>
      <w:bCs/>
      <w:i w:val="0"/>
      <w:iCs w:val="0"/>
      <w:u w:val="none"/>
      <w:strike w:val="0"/>
      <w:smallCaps w:val="0"/>
      <w:sz w:val="24"/>
      <w:szCs w:val="24"/>
    </w:rPr>
  </w:style>
  <w:style w:type="character" w:customStyle="1" w:styleId="CharStyle42">
    <w:name w:val="Char Style 42"/>
    <w:basedOn w:val="DefaultParagraphFont"/>
    <w:link w:val="Style41"/>
    <w:rPr>
      <w:b/>
      <w:bCs/>
      <w:i w:val="0"/>
      <w:iCs w:val="0"/>
      <w:u w:val="none"/>
      <w:strike w:val="0"/>
      <w:smallCaps w:val="0"/>
      <w:sz w:val="22"/>
      <w:szCs w:val="22"/>
    </w:rPr>
  </w:style>
  <w:style w:type="character" w:customStyle="1" w:styleId="CharStyle44">
    <w:name w:val="Char Style 44"/>
    <w:basedOn w:val="DefaultParagraphFont"/>
    <w:link w:val="Style43"/>
    <w:rPr>
      <w:b/>
      <w:bCs/>
      <w:i w:val="0"/>
      <w:iCs w:val="0"/>
      <w:u w:val="none"/>
      <w:strike w:val="0"/>
      <w:smallCaps w:val="0"/>
    </w:rPr>
  </w:style>
  <w:style w:type="character" w:customStyle="1" w:styleId="CharStyle45">
    <w:name w:val="Char Style 45"/>
    <w:basedOn w:val="CharStyle44"/>
    <w:rPr>
      <w:lang w:val="cs-CZ" w:eastAsia="cs-CZ" w:bidi="cs-CZ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paragraph" w:customStyle="1" w:styleId="Style2">
    <w:name w:val="Style 2"/>
    <w:basedOn w:val="Normal"/>
    <w:link w:val="CharStyle3"/>
    <w:pPr>
      <w:widowControl w:val="0"/>
      <w:shd w:val="clear" w:color="auto" w:fill="FFFFFF"/>
      <w:spacing w:line="226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</w:rPr>
  </w:style>
  <w:style w:type="paragraph" w:customStyle="1" w:styleId="Style6">
    <w:name w:val="Style 6"/>
    <w:basedOn w:val="Normal"/>
    <w:link w:val="CharStyle7"/>
    <w:pPr>
      <w:widowControl w:val="0"/>
      <w:shd w:val="clear" w:color="auto" w:fill="FFFFFF"/>
      <w:jc w:val="center"/>
      <w:spacing w:line="274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paragraph" w:customStyle="1" w:styleId="Style8">
    <w:name w:val="Style 8"/>
    <w:basedOn w:val="Normal"/>
    <w:link w:val="CharStyle9"/>
    <w:pPr>
      <w:widowControl w:val="0"/>
      <w:shd w:val="clear" w:color="auto" w:fill="FFFFFF"/>
      <w:jc w:val="both"/>
      <w:spacing w:after="300" w:line="244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paragraph" w:customStyle="1" w:styleId="Style10">
    <w:name w:val="Style 10"/>
    <w:basedOn w:val="Normal"/>
    <w:link w:val="CharStyle11"/>
    <w:pPr>
      <w:widowControl w:val="0"/>
      <w:shd w:val="clear" w:color="auto" w:fill="FFFFFF"/>
      <w:jc w:val="both"/>
      <w:spacing w:before="300" w:line="288" w:lineRule="exact"/>
    </w:pPr>
    <w:rPr>
      <w:b w:val="0"/>
      <w:bCs w:val="0"/>
      <w:i/>
      <w:iCs/>
      <w:u w:val="none"/>
      <w:strike w:val="0"/>
      <w:smallCaps w:val="0"/>
      <w:sz w:val="26"/>
      <w:szCs w:val="26"/>
    </w:rPr>
  </w:style>
  <w:style w:type="paragraph" w:customStyle="1" w:styleId="Style15">
    <w:name w:val="Style 15"/>
    <w:basedOn w:val="Normal"/>
    <w:link w:val="CharStyle16"/>
    <w:pPr>
      <w:widowControl w:val="0"/>
      <w:shd w:val="clear" w:color="auto" w:fill="FFFFFF"/>
      <w:jc w:val="center"/>
      <w:outlineLvl w:val="0"/>
      <w:spacing w:after="180" w:line="420" w:lineRule="exact"/>
    </w:pPr>
    <w:rPr>
      <w:b/>
      <w:bCs/>
      <w:i w:val="0"/>
      <w:iCs w:val="0"/>
      <w:u w:val="none"/>
      <w:strike w:val="0"/>
      <w:smallCaps w:val="0"/>
      <w:sz w:val="38"/>
      <w:szCs w:val="38"/>
      <w:spacing w:val="80"/>
    </w:rPr>
  </w:style>
  <w:style w:type="paragraph" w:customStyle="1" w:styleId="Style17">
    <w:name w:val="Style 17"/>
    <w:basedOn w:val="Normal"/>
    <w:link w:val="CharStyle18"/>
    <w:pPr>
      <w:widowControl w:val="0"/>
      <w:shd w:val="clear" w:color="auto" w:fill="FFFFFF"/>
      <w:jc w:val="center"/>
      <w:outlineLvl w:val="1"/>
      <w:spacing w:before="180" w:line="557" w:lineRule="exact"/>
    </w:pPr>
    <w:rPr>
      <w:b/>
      <w:bCs/>
      <w:i w:val="0"/>
      <w:iCs w:val="0"/>
      <w:u w:val="none"/>
      <w:strike w:val="0"/>
      <w:smallCaps w:val="0"/>
      <w:sz w:val="30"/>
      <w:szCs w:val="30"/>
    </w:rPr>
  </w:style>
  <w:style w:type="paragraph" w:customStyle="1" w:styleId="Style19">
    <w:name w:val="Style 19"/>
    <w:basedOn w:val="Normal"/>
    <w:link w:val="CharStyle20"/>
    <w:pPr>
      <w:widowControl w:val="0"/>
      <w:shd w:val="clear" w:color="auto" w:fill="FFFFFF"/>
      <w:jc w:val="center"/>
      <w:spacing w:line="557" w:lineRule="exact"/>
    </w:pPr>
    <w:rPr>
      <w:b/>
      <w:bCs/>
      <w:i w:val="0"/>
      <w:iCs w:val="0"/>
      <w:u w:val="none"/>
      <w:strike w:val="0"/>
      <w:smallCaps w:val="0"/>
      <w:sz w:val="28"/>
      <w:szCs w:val="28"/>
    </w:rPr>
  </w:style>
  <w:style w:type="paragraph" w:customStyle="1" w:styleId="Style21">
    <w:name w:val="Style 21"/>
    <w:basedOn w:val="Normal"/>
    <w:link w:val="CharStyle22"/>
    <w:pPr>
      <w:widowControl w:val="0"/>
      <w:shd w:val="clear" w:color="auto" w:fill="FFFFFF"/>
      <w:spacing w:line="269" w:lineRule="exact"/>
    </w:pPr>
    <w:rPr>
      <w:b w:val="0"/>
      <w:bCs w:val="0"/>
      <w:i/>
      <w:iCs/>
      <w:u w:val="none"/>
      <w:strike w:val="0"/>
      <w:smallCaps w:val="0"/>
      <w:sz w:val="23"/>
      <w:szCs w:val="23"/>
    </w:rPr>
  </w:style>
  <w:style w:type="paragraph" w:customStyle="1" w:styleId="Style24">
    <w:name w:val="Style 24"/>
    <w:basedOn w:val="Normal"/>
    <w:link w:val="CharStyle25"/>
    <w:pPr>
      <w:widowControl w:val="0"/>
      <w:shd w:val="clear" w:color="auto" w:fill="FFFFFF"/>
      <w:jc w:val="center"/>
      <w:outlineLvl w:val="1"/>
      <w:spacing w:before="280" w:line="31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</w:rPr>
  </w:style>
  <w:style w:type="paragraph" w:customStyle="1" w:styleId="Style26">
    <w:name w:val="Style 26"/>
    <w:basedOn w:val="Normal"/>
    <w:link w:val="CharStyle27"/>
    <w:pPr>
      <w:widowControl w:val="0"/>
      <w:shd w:val="clear" w:color="auto" w:fill="FFFFFF"/>
      <w:jc w:val="center"/>
      <w:outlineLvl w:val="3"/>
      <w:spacing w:after="280" w:line="266" w:lineRule="exact"/>
    </w:pPr>
    <w:rPr>
      <w:b/>
      <w:bCs/>
      <w:i w:val="0"/>
      <w:iCs w:val="0"/>
      <w:u w:val="none"/>
      <w:strike w:val="0"/>
      <w:smallCaps w:val="0"/>
    </w:rPr>
  </w:style>
  <w:style w:type="paragraph" w:customStyle="1" w:styleId="Style28">
    <w:name w:val="Style 28"/>
    <w:basedOn w:val="Normal"/>
    <w:link w:val="CharStyle29"/>
    <w:pPr>
      <w:widowControl w:val="0"/>
      <w:shd w:val="clear" w:color="auto" w:fill="FFFFFF"/>
      <w:jc w:val="both"/>
      <w:spacing w:before="280" w:line="269" w:lineRule="exact"/>
      <w:ind w:hanging="400"/>
    </w:pPr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paragraph" w:customStyle="1" w:styleId="Style30">
    <w:name w:val="Style 30"/>
    <w:basedOn w:val="Normal"/>
    <w:link w:val="CharStyle31"/>
    <w:pPr>
      <w:widowControl w:val="0"/>
      <w:shd w:val="clear" w:color="auto" w:fill="FFFFFF"/>
      <w:jc w:val="center"/>
      <w:outlineLvl w:val="2"/>
      <w:spacing w:before="280" w:line="266" w:lineRule="exact"/>
    </w:pPr>
    <w:rPr>
      <w:b/>
      <w:bCs/>
      <w:i w:val="0"/>
      <w:iCs w:val="0"/>
      <w:u w:val="none"/>
      <w:strike w:val="0"/>
      <w:smallCaps w:val="0"/>
      <w:sz w:val="24"/>
      <w:szCs w:val="24"/>
    </w:rPr>
  </w:style>
  <w:style w:type="paragraph" w:customStyle="1" w:styleId="Style32">
    <w:name w:val="Style 32"/>
    <w:basedOn w:val="Normal"/>
    <w:link w:val="CharStyle33"/>
    <w:pPr>
      <w:widowControl w:val="0"/>
      <w:shd w:val="clear" w:color="auto" w:fill="FFFFFF"/>
      <w:jc w:val="center"/>
      <w:spacing w:before="280" w:line="266" w:lineRule="exact"/>
    </w:pPr>
    <w:rPr>
      <w:b/>
      <w:bCs/>
      <w:i w:val="0"/>
      <w:iCs w:val="0"/>
      <w:u w:val="none"/>
      <w:strike w:val="0"/>
      <w:smallCaps w:val="0"/>
      <w:sz w:val="24"/>
      <w:szCs w:val="24"/>
    </w:rPr>
  </w:style>
  <w:style w:type="paragraph" w:customStyle="1" w:styleId="Style34">
    <w:name w:val="Style 34"/>
    <w:basedOn w:val="Normal"/>
    <w:link w:val="CharStyle35"/>
    <w:pPr>
      <w:widowControl w:val="0"/>
      <w:shd w:val="clear" w:color="auto" w:fill="FFFFFF"/>
      <w:jc w:val="center"/>
      <w:outlineLvl w:val="2"/>
      <w:spacing w:before="280" w:line="266" w:lineRule="exact"/>
    </w:pPr>
    <w:rPr>
      <w:b/>
      <w:bCs/>
      <w:i w:val="0"/>
      <w:iCs w:val="0"/>
      <w:u w:val="none"/>
      <w:strike w:val="0"/>
      <w:smallCaps w:val="0"/>
      <w:sz w:val="24"/>
      <w:szCs w:val="24"/>
    </w:rPr>
  </w:style>
  <w:style w:type="paragraph" w:customStyle="1" w:styleId="Style37">
    <w:name w:val="Style 37"/>
    <w:basedOn w:val="Normal"/>
    <w:link w:val="CharStyle38"/>
    <w:pPr>
      <w:widowControl w:val="0"/>
      <w:shd w:val="clear" w:color="auto" w:fill="FFFFFF"/>
      <w:jc w:val="center"/>
      <w:outlineLvl w:val="2"/>
      <w:spacing w:before="280" w:line="266" w:lineRule="exact"/>
    </w:pPr>
    <w:rPr>
      <w:b/>
      <w:bCs/>
      <w:i w:val="0"/>
      <w:iCs w:val="0"/>
      <w:u w:val="none"/>
      <w:strike w:val="0"/>
      <w:smallCaps w:val="0"/>
      <w:sz w:val="24"/>
      <w:szCs w:val="24"/>
    </w:rPr>
  </w:style>
  <w:style w:type="paragraph" w:customStyle="1" w:styleId="Style39">
    <w:name w:val="Style 39"/>
    <w:basedOn w:val="Normal"/>
    <w:link w:val="CharStyle40"/>
    <w:pPr>
      <w:widowControl w:val="0"/>
      <w:shd w:val="clear" w:color="auto" w:fill="FFFFFF"/>
      <w:jc w:val="center"/>
      <w:outlineLvl w:val="2"/>
      <w:spacing w:line="266" w:lineRule="exact"/>
    </w:pPr>
    <w:rPr>
      <w:b/>
      <w:bCs/>
      <w:i w:val="0"/>
      <w:iCs w:val="0"/>
      <w:u w:val="none"/>
      <w:strike w:val="0"/>
      <w:smallCaps w:val="0"/>
      <w:sz w:val="24"/>
      <w:szCs w:val="24"/>
    </w:rPr>
  </w:style>
  <w:style w:type="paragraph" w:customStyle="1" w:styleId="Style41">
    <w:name w:val="Style 41"/>
    <w:basedOn w:val="Normal"/>
    <w:link w:val="CharStyle42"/>
    <w:pPr>
      <w:widowControl w:val="0"/>
      <w:shd w:val="clear" w:color="auto" w:fill="FFFFFF"/>
      <w:jc w:val="center"/>
      <w:outlineLvl w:val="2"/>
      <w:spacing w:before="280" w:line="244" w:lineRule="exact"/>
    </w:pPr>
    <w:rPr>
      <w:b/>
      <w:bCs/>
      <w:i w:val="0"/>
      <w:iCs w:val="0"/>
      <w:u w:val="none"/>
      <w:strike w:val="0"/>
      <w:smallCaps w:val="0"/>
      <w:sz w:val="22"/>
      <w:szCs w:val="22"/>
    </w:rPr>
  </w:style>
  <w:style w:type="paragraph" w:customStyle="1" w:styleId="Style43">
    <w:name w:val="Style 43"/>
    <w:basedOn w:val="Normal"/>
    <w:link w:val="CharStyle44"/>
    <w:pPr>
      <w:widowControl w:val="0"/>
      <w:shd w:val="clear" w:color="auto" w:fill="FFFFFF"/>
      <w:jc w:val="center"/>
      <w:spacing w:before="280" w:after="280" w:line="274" w:lineRule="exact"/>
    </w:pPr>
    <w:rPr>
      <w:b/>
      <w:bCs/>
      <w:i w:val="0"/>
      <w:iCs w:val="0"/>
      <w:u w:val="none"/>
      <w:strike w:val="0"/>
      <w:smallCaps w:val="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Ciglova</dc:creator>
  <cp:keywords/>
</cp:coreProperties>
</file>