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97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461" w:h="20280"/>
          <w:pgMar w:top="1036" w:left="0" w:right="0" w:bottom="454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71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OBEC MECHOLUPY</w:t>
      </w:r>
      <w:bookmarkEnd w:id="0"/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č. 2/2011,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místním poplatku za užívání veřejného prostranství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obce Měcholupy se na svém zasedání dne 22.06.2011 usneslo č. usnesení S-078/2011 vydat na základě § 14 odst. 2 zákona č. 565/1990 Sb., o místních poplatcích, ve znění pozdějších předpisů (dále jen „zákon o místních poplatcích “) a</w:t>
      </w:r>
      <w:r>
        <w:rPr>
          <w:rStyle w:val="CharStyle23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souladu s § 10 písm.</w:t>
      </w:r>
    </w:p>
    <w:p>
      <w:pPr>
        <w:pStyle w:val="Style21"/>
        <w:numPr>
          <w:ilvl w:val="0"/>
          <w:numId w:val="3"/>
        </w:numPr>
        <w:tabs>
          <w:tab w:leader="none" w:pos="4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7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 § 84 odst. 2 písm. h) zákona č. 128/2000 Sb., o obcích (obecní zřízení), ve znění pozdějších předpisů, tuto obecně závaznou vyhlášku (dále jen ,,vyhláška“):</w:t>
      </w:r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1</w:t>
      </w:r>
      <w:bookmarkEnd w:id="2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8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Úvodní ustanovení</w:t>
      </w:r>
      <w:bookmarkEnd w:id="3"/>
    </w:p>
    <w:p>
      <w:pPr>
        <w:pStyle w:val="Style28"/>
        <w:numPr>
          <w:ilvl w:val="0"/>
          <w:numId w:val="5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 Měcholupy touto vyhláškou zavádí místní poplatek za užívání veřejného prostranství (dále jen „poplatek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).^</w:t>
      </w:r>
    </w:p>
    <w:p>
      <w:pPr>
        <w:pStyle w:val="Style28"/>
        <w:numPr>
          <w:ilvl w:val="0"/>
          <w:numId w:val="5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2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Řízení o poplatku vykonává Obecní úřad Měcholupy (dále jen „správce poplatku“).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2"/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3"/>
      </w:r>
    </w:p>
    <w:p>
      <w:pPr>
        <w:pStyle w:val="Style30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2</w:t>
      </w:r>
      <w:bookmarkEnd w:id="4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8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 poplatku, poplatník</w:t>
      </w:r>
      <w:bookmarkEnd w:id="5"/>
    </w:p>
    <w:p>
      <w:pPr>
        <w:pStyle w:val="Style28"/>
        <w:numPr>
          <w:ilvl w:val="0"/>
          <w:numId w:val="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za užívání veřejného prostranství se vybírá za zvláštní užívání veřejného prostranství, kterým se pro účely této vyhlášky rozumí provádění výkopových prací, umístění dočasných staveb a zařízení sloužících pro poskytování prodeje a služeb, umístění stavebních nebo reklamních zařízení, zařízení cirkusů, lunaparků a jiných obdobných atrakcí, umístění skládek, vyhrazení trvalého parkovacího místa a užívání tohoto prostranství pro reklamní akce, nebo potřeby tvorby filmových a televizních děl.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4"/>
      </w:r>
    </w:p>
    <w:p>
      <w:pPr>
        <w:pStyle w:val="Style28"/>
        <w:numPr>
          <w:ilvl w:val="0"/>
          <w:numId w:val="7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282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za užívání veřejného prostranství platí fyzické i právnické osoby, které užívají veřejné prostranství způsobem uvedeným v odstavci 1.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5"/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6"/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7"/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3</w:t>
      </w:r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0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Veřejné prostranství</w:t>
      </w:r>
      <w:bookmarkEnd w:id="6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290" w:line="278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se platí za užívání veřejných prostranství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' vyznačených graficky v mapové příloze č. 1 této vyhlášky.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4</w:t>
      </w:r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Ohlašovací povinnost</w:t>
      </w:r>
      <w:bookmarkEnd w:id="7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1) Poplatník je povinen ohlásit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' správci poplatku užívání veřejného prostranství nejpozději v den zahájení užívání veřejného prostranství. Pokud tento den připadne na sobotu, neděli nebo státem uznaný svátek, nebo není možné povinnost splnit z jiného závažného důvodu, je poplatník povinen splnit ohlašovací povinnost nejblíže následující pracovní den.</w:t>
      </w:r>
    </w:p>
    <w:p>
      <w:pPr>
        <w:pStyle w:val="Style28"/>
        <w:numPr>
          <w:ilvl w:val="0"/>
          <w:numId w:val="9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Obsah ohlášení upravuje zákon o místních poplatcích.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7)</w:t>
      </w:r>
    </w:p>
    <w:p>
      <w:pPr>
        <w:pStyle w:val="Style28"/>
        <w:numPr>
          <w:ilvl w:val="0"/>
          <w:numId w:val="9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86" w:line="274" w:lineRule="exact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Dojde-li ke změně údajů uvedených v ohlášení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8"/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9"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*, je poplatník povinen tuto změnu oznámit do 15 dnů ode dne, kdy nastala.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0"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</w:t>
      </w:r>
    </w:p>
    <w:p>
      <w:pPr>
        <w:pStyle w:val="Style3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8" w:name="bookmark8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ČI. </w:t>
      </w:r>
      <w:r>
        <w:rPr>
          <w:rStyle w:val="CharStyle36"/>
          <w:b w:val="0"/>
          <w:bCs w:val="0"/>
        </w:rPr>
        <w:t>5</w:t>
      </w:r>
      <w:bookmarkEnd w:id="8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8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Sazba poplatku</w:t>
      </w:r>
      <w:bookmarkEnd w:id="9"/>
    </w:p>
    <w:p>
      <w:pPr>
        <w:pStyle w:val="Style28"/>
        <w:numPr>
          <w:ilvl w:val="0"/>
          <w:numId w:val="1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Sazba poplatku činí za každý i započatý m a každý i započatý den:</w:t>
      </w:r>
    </w:p>
    <w:p>
      <w:pPr>
        <w:pStyle w:val="Style28"/>
        <w:numPr>
          <w:ilvl w:val="0"/>
          <w:numId w:val="13"/>
        </w:numPr>
        <w:tabs>
          <w:tab w:leader="none" w:pos="708" w:val="left"/>
          <w:tab w:leader="dot" w:pos="84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provádění výkopových prací</w:t>
        <w:tab/>
        <w:t xml:space="preserve"> 5,- 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none" w:pos="6616" w:val="center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umístění dočasných staveb sloužících pro poskytování</w:t>
        <w:tab/>
        <w:t>prodeje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none" w:pos="6616" w:val="center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umístění dočasných staveb sloužících pro poskytování</w:t>
        <w:tab/>
        <w:t xml:space="preserve">služeb 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 umístění zařízení sloužících pro poskytování prodeje 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umístění zařízení sloužících pro poskytování služeb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 umístění stavebních zařízení 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 umístění reklamních zařízení </w:t>
        <w:tab/>
        <w:t xml:space="preserve"> 10,-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 umístění zařízení cirkusů 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none" w:pos="5834" w:val="center"/>
          <w:tab w:leader="dot" w:pos="9172" w:val="right"/>
          <w:tab w:leader="none" w:pos="9391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umístění zařízení lunaparků a jiných obdobných</w:t>
        <w:tab/>
        <w:t>atrakcí</w:t>
        <w:tab/>
        <w:t xml:space="preserve"> 5,-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9172" w:val="right"/>
          <w:tab w:leader="none" w:pos="936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umístění skládek</w:t>
        <w:tab/>
        <w:t>5,-</w:t>
        <w:tab/>
        <w:t>Kč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none" w:pos="4836" w:val="center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vyhrazení trvalého parkovacího místa</w:t>
        <w:tab/>
        <w:tab/>
        <w:t xml:space="preserve"> 10,-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32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užívání pro reklamní akce</w:t>
        <w:tab/>
        <w:t xml:space="preserve"> 10,-</w:t>
        <w:tab/>
        <w:t>Kč,</w:t>
      </w:r>
    </w:p>
    <w:p>
      <w:pPr>
        <w:pStyle w:val="Style28"/>
        <w:numPr>
          <w:ilvl w:val="0"/>
          <w:numId w:val="13"/>
        </w:numPr>
        <w:tabs>
          <w:tab w:leader="none" w:pos="799" w:val="left"/>
          <w:tab w:leader="none" w:pos="4826" w:val="center"/>
          <w:tab w:leader="none" w:pos="5255" w:val="center"/>
          <w:tab w:leader="none" w:pos="6138" w:val="center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užívání pro potřeby tvorby filmových</w:t>
        <w:tab/>
        <w:t>a</w:t>
        <w:tab/>
        <w:t>televizních</w:t>
        <w:tab/>
        <w:t xml:space="preserve">děl </w:t>
        <w:tab/>
        <w:t xml:space="preserve"> 10,-</w:t>
        <w:tab/>
        <w:t>Kč.</w:t>
      </w:r>
    </w:p>
    <w:p>
      <w:pPr>
        <w:pStyle w:val="Style28"/>
        <w:numPr>
          <w:ilvl w:val="0"/>
          <w:numId w:val="1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Stanovuje se paušální částka poplatku:</w:t>
      </w:r>
    </w:p>
    <w:p>
      <w:pPr>
        <w:pStyle w:val="Style28"/>
        <w:numPr>
          <w:ilvl w:val="0"/>
          <w:numId w:val="15"/>
        </w:numPr>
        <w:tabs>
          <w:tab w:leader="none" w:pos="713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týdenní za provádění výkopových prací</w:t>
        <w:tab/>
        <w:t xml:space="preserve"> 300,-</w:t>
        <w:tab/>
        <w:t>Kč,</w:t>
      </w:r>
    </w:p>
    <w:p>
      <w:pPr>
        <w:pStyle w:val="Style28"/>
        <w:numPr>
          <w:ilvl w:val="0"/>
          <w:numId w:val="15"/>
        </w:numPr>
        <w:tabs>
          <w:tab w:leader="none" w:pos="727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měsíční za umístění stavebního zařízení </w:t>
        <w:tab/>
        <w:t xml:space="preserve"> 500,-</w:t>
        <w:tab/>
        <w:t>Kč,</w:t>
      </w:r>
    </w:p>
    <w:p>
      <w:pPr>
        <w:pStyle w:val="Style28"/>
        <w:numPr>
          <w:ilvl w:val="0"/>
          <w:numId w:val="15"/>
        </w:numPr>
        <w:tabs>
          <w:tab w:leader="none" w:pos="727" w:val="left"/>
          <w:tab w:leader="dot" w:pos="8771" w:val="right"/>
          <w:tab w:leader="none" w:pos="9172" w:val="right"/>
        </w:tabs>
        <w:widowControl w:val="0"/>
        <w:keepNext w:val="0"/>
        <w:keepLines w:val="0"/>
        <w:shd w:val="clear" w:color="auto" w:fill="auto"/>
        <w:bidi w:val="0"/>
        <w:spacing w:before="0" w:after="282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roční za vyhrazení trvalého parkovacího místa</w:t>
        <w:tab/>
        <w:t xml:space="preserve"> 500,-</w:t>
        <w:tab/>
        <w:t>Kč.</w:t>
      </w:r>
    </w:p>
    <w:p>
      <w:pPr>
        <w:pStyle w:val="Style3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0" w:name="bookmark1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6</w:t>
      </w:r>
      <w:bookmarkEnd w:id="10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11" w:name="bookmark11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Osvobození od poplatku</w:t>
      </w:r>
      <w:bookmarkEnd w:id="11"/>
    </w:p>
    <w:p>
      <w:pPr>
        <w:pStyle w:val="Style28"/>
        <w:numPr>
          <w:ilvl w:val="0"/>
          <w:numId w:val="17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Důvody osvobození od poplatku stanoví zákon o místních poplatcích.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1"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</w:t>
      </w:r>
    </w:p>
    <w:p>
      <w:pPr>
        <w:pStyle w:val="Style28"/>
        <w:numPr>
          <w:ilvl w:val="0"/>
          <w:numId w:val="17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40" w:right="0" w:hanging="34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Dále se od poplatku osvobozují:</w:t>
      </w:r>
    </w:p>
    <w:p>
      <w:pPr>
        <w:pStyle w:val="Style28"/>
        <w:numPr>
          <w:ilvl w:val="0"/>
          <w:numId w:val="19"/>
        </w:numPr>
        <w:tabs>
          <w:tab w:leader="none" w:pos="70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 Měcholupy,</w:t>
      </w:r>
    </w:p>
    <w:p>
      <w:pPr>
        <w:pStyle w:val="Style28"/>
        <w:numPr>
          <w:ilvl w:val="0"/>
          <w:numId w:val="19"/>
        </w:numPr>
        <w:tabs>
          <w:tab w:leader="none" w:pos="72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pořadatelé akcí pořádaných bez vstupného.</w:t>
      </w:r>
      <w:r>
        <w:br w:type="page"/>
      </w:r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2" w:name="bookmark1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7</w:t>
      </w:r>
      <w:bookmarkEnd w:id="12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8"/>
        <w:ind w:left="0" w:right="0" w:firstLine="0"/>
      </w:pPr>
      <w:bookmarkStart w:id="13" w:name="bookmark1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Splatnost poplatku</w:t>
      </w:r>
      <w:bookmarkEnd w:id="13"/>
    </w:p>
    <w:p>
      <w:pPr>
        <w:pStyle w:val="Style28"/>
        <w:numPr>
          <w:ilvl w:val="0"/>
          <w:numId w:val="2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je splatný:</w:t>
      </w:r>
    </w:p>
    <w:p>
      <w:pPr>
        <w:pStyle w:val="Style28"/>
        <w:numPr>
          <w:ilvl w:val="0"/>
          <w:numId w:val="23"/>
        </w:numPr>
        <w:tabs>
          <w:tab w:leader="none" w:pos="7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hanging="3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nepřesáhne-li užívání do více kalendářních let, nejpozději do 15 dnů od ukončení užívání veřejného prostranství,</w:t>
      </w:r>
    </w:p>
    <w:p>
      <w:pPr>
        <w:pStyle w:val="Style28"/>
        <w:numPr>
          <w:ilvl w:val="0"/>
          <w:numId w:val="23"/>
        </w:numPr>
        <w:tabs>
          <w:tab w:leader="none" w:pos="7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hanging="3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přesáhne-li užívání do více kalendářních let, příslušná část za každý kalendářní rok nej později do konce každého příslušného kalendářního roku a za kalendářní rok, ve kterém bylo užívání veřejného prostranství ukončeno, nejpozději do 15 dnů od ukončení užívání veřejného prostranství.</w:t>
      </w:r>
    </w:p>
    <w:p>
      <w:pPr>
        <w:pStyle w:val="Style28"/>
        <w:numPr>
          <w:ilvl w:val="0"/>
          <w:numId w:val="2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stanovený týdenní a měsíční paušální částkou je splatný nejpozději do 7 dnů od počátku každého týdenního nebo měsíčního poplatkového období. Ve stejné lhůtě je možné zaplatit i za více poplatkových období dopředu.</w:t>
      </w:r>
    </w:p>
    <w:p>
      <w:pPr>
        <w:pStyle w:val="Style28"/>
        <w:numPr>
          <w:ilvl w:val="0"/>
          <w:numId w:val="2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stanovený roční paušální částkou je splatný do 15 dnů od počátku každého ročního poplatkového období.</w:t>
      </w:r>
    </w:p>
    <w:p>
      <w:pPr>
        <w:pStyle w:val="Style28"/>
        <w:numPr>
          <w:ilvl w:val="0"/>
          <w:numId w:val="2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300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Připadne-li lhůta splatnosti na sobotu, neděli nebo státem uznaný svátek, je dnem, ve kterém je poplatník povinen svoji povinnost splnit, nejblíže následující pracovní den.</w:t>
      </w:r>
    </w:p>
    <w:p>
      <w:pPr>
        <w:pStyle w:val="Style41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4" w:name="bookmark14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8</w:t>
      </w:r>
      <w:bookmarkEnd w:id="14"/>
    </w:p>
    <w:p>
      <w:pPr>
        <w:pStyle w:val="Style2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15" w:name="bookmark1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Ustanovení závěrečná</w:t>
      </w:r>
      <w:bookmarkEnd w:id="15"/>
    </w:p>
    <w:p>
      <w:pPr>
        <w:pStyle w:val="Style28"/>
        <w:numPr>
          <w:ilvl w:val="0"/>
          <w:numId w:val="25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Nebude-li poplatek zaplacen poplatníkem včas nebo ve správné výši, vyměří mu správce poplatku poplatek platebním výměrem nebo hromadným předpisným seznamem.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111</w:t>
      </w:r>
    </w:p>
    <w:p>
      <w:pPr>
        <w:pStyle w:val="Style28"/>
        <w:numPr>
          <w:ilvl w:val="0"/>
          <w:numId w:val="25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80" w:line="274" w:lineRule="exact"/>
        <w:ind w:left="380" w:right="0" w:hanging="38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Včas nezaplacené poplatky nebo část těchto poplatků může správce poplatku zvýšit až na trojnásobek; toto zvýšení je příslušenstvím poplatku.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2"/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3"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’</w:t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spacing w:before="0" w:after="304"/>
        <w:ind w:left="0" w:right="0" w:firstLine="0"/>
      </w:pPr>
      <w:r>
        <w:rPr>
          <w:rStyle w:val="CharStyle45"/>
          <w:b/>
          <w:bCs/>
        </w:rPr>
        <w:t>ČI. 9</w:t>
        <w:br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Účinnost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244" w:lineRule="exact"/>
        <w:ind w:left="380" w:right="0" w:hanging="3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0.6pt;margin-top:105.2pt;width:101.75pt;height:30.25pt;z-index:-125829376;mso-wrap-distance-left:40.55pt;mso-wrap-distance-right:40.1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'oris Černíková, DiS. starostka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47.pt;margin-top:106.4pt;width:30.pt;height:15.1pt;z-index:-125829375;mso-wrap-distance-left:40.55pt;mso-wrap-distance-right:40.1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'ttlová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52.65pt;margin-top:106.4pt;width:45.85pt;height:15.35pt;z-index:-125829374;mso-wrap-distance-left:40.55pt;mso-wrap-distance-right:40.1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MUDr. 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78.6pt;margin-top:121.3pt;width:72.7pt;height:14.15pt;z-index:-125829373;mso-wrap-distance-left:40.55pt;mso-wrap-distance-right:40.1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4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místos tařostka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2.1pt;margin-top:47.05pt;width:378.7pt;height:122.9pt;z-index:-125829372;mso-wrap-distance-left:40.55pt;mso-wrap-distance-right:40.1pt;mso-position-horizontal-relative:margin">
            <v:imagedata r:id="rId5" r:href="rId6"/>
            <w10:wrap type="topAndBottom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z důvodu naléhavého obecného zájmu dnem vyhlášení.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547" w:lineRule="exact"/>
        <w:ind w:left="0" w:right="0" w:firstLine="0"/>
        <w:sectPr>
          <w:type w:val="continuous"/>
          <w:pgSz w:w="12461" w:h="20280"/>
          <w:pgMar w:top="1036" w:left="1704" w:right="1506" w:bottom="4540" w:header="0" w:footer="3" w:gutter="0"/>
          <w:rtlGutter w:val="0"/>
          <w:cols w:space="720"/>
          <w:noEndnote/>
          <w:docGrid w:linePitch="360"/>
        </w:sectPr>
      </w:pPr>
      <w:r>
        <w:pict>
          <v:shape id="_x0000_s1031" type="#_x0000_t202" style="position:absolute;margin-left:180.85pt;margin-top:-10.7pt;width:81.85pt;height:50.35pt;z-index:-125829371;mso-wrap-distance-left:28.8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tabs>
                      <w:tab w:leader="dot" w:pos="10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65"/>
                    <w:ind w:left="800" w:right="0" w:firstLine="0"/>
                  </w:pPr>
                  <w:r>
                    <w:rPr>
                      <w:lang w:val="cs-CZ" w:eastAsia="cs-CZ" w:bidi="cs-CZ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ab/>
                    <w:t>2011</w:t>
                  </w:r>
                </w:p>
                <w:p>
                  <w:pPr>
                    <w:pStyle w:val="Style10"/>
                    <w:tabs>
                      <w:tab w:leader="dot" w:pos="106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  <w:b w:val="0"/>
                      <w:bCs w:val="0"/>
                      <w:i/>
                      <w:iCs/>
                    </w:rPr>
                    <w:t>tt.Ql-.</w:t>
                  </w:r>
                  <w:r>
                    <w:rPr>
                      <w:rStyle w:val="CharStyle13"/>
                      <w:lang w:val="cs-CZ" w:eastAsia="cs-CZ" w:bidi="cs-CZ"/>
                      <w:i w:val="0"/>
                      <w:iCs w:val="0"/>
                    </w:rPr>
                    <w:tab/>
                  </w:r>
                  <w:r>
                    <w:rPr>
                      <w:rStyle w:val="CharStyle14"/>
                      <w:i w:val="0"/>
                      <w:iCs w:val="0"/>
                    </w:rPr>
                    <w:t>2011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 na úřední desce dne: Sejmuto z úřední desky dne:</w:t>
      </w:r>
    </w:p>
    <w:p>
      <w:pPr>
        <w:pStyle w:val="Style2"/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určen na charitativní a veřejně prospěšné účely, se poplatek neplatí. Poplatku za užívání veřejného prostranství spočívajícího ve vyhrazení trvalého parkovacího místa nepodléhají osoby zdravotně postižené.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</w:t>
      </w:r>
    </w:p>
    <w:sectPr>
      <w:type w:val="continuous"/>
      <w:pgSz w:w="12461" w:h="20280"/>
      <w:pgMar w:top="1036" w:left="1704" w:right="1506" w:bottom="454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"/>
          <w:vertAlign w:val="superscript"/>
        </w:rPr>
        <w:t>11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§ 1 písm. c) a § 4 zákona o místních poplatcích</w:t>
      </w:r>
    </w:p>
  </w:footnote>
  <w:footnote w:id="3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14 odst. 3 zákona o místních poplatcích</w:t>
      </w:r>
    </w:p>
  </w:footnote>
  <w:footnote w:id="4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4 odst. 1 zákona o místních poplatcích</w:t>
      </w:r>
    </w:p>
  </w:footnote>
  <w:footnote w:id="5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4 odst. 2 zákona o místních poplatcích</w:t>
      </w:r>
    </w:p>
  </w:footnote>
  <w:footnote w:id="6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34 zákona o obcích („Veřejným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</w:t>
      </w:r>
    </w:p>
  </w:footnote>
  <w:footnote w:id="7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71 odst. 1 zákona č. 280/2009 Sb., daňový řád (dále jen „daňový řád“) - „Podání lze učinit písemně, ústně do protokolu nebo datovou zprávou, která je opatřena uznávaným elektronickým podpisem, nebo která je odeslána prostřednictvím datové schránky.</w:t>
      </w: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11</w:t>
      </w:r>
    </w:p>
  </w:footnote>
  <w:footnote w:id="8">
    <w:p>
      <w:pPr>
        <w:pStyle w:val="Style2"/>
        <w:tabs>
          <w:tab w:leader="none" w:pos="1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14a odst. 1 a 2 zákona o místních poplatcích: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„V ohlášení poplatník nebo plátce uvede</w:t>
      </w:r>
    </w:p>
    <w:p>
      <w:pPr>
        <w:pStyle w:val="Style2"/>
        <w:numPr>
          <w:ilvl w:val="0"/>
          <w:numId w:val="1"/>
        </w:numPr>
        <w:tabs>
          <w:tab w:leader="none" w:pos="5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 poplatkových věcech,</w:t>
      </w:r>
    </w:p>
    <w:p>
      <w:pPr>
        <w:pStyle w:val="Style2"/>
        <w:numPr>
          <w:ilvl w:val="0"/>
          <w:numId w:val="1"/>
        </w:numPr>
        <w:tabs>
          <w:tab w:leader="none" w:pos="5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>
      <w:pPr>
        <w:pStyle w:val="Style2"/>
        <w:numPr>
          <w:ilvl w:val="0"/>
          <w:numId w:val="1"/>
        </w:numPr>
        <w:tabs>
          <w:tab w:leader="none" w:pos="5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údaje rozhodné pro stanovení výše poplatkové povinnosti (např. místo, způsob užívání, předpokládanou dobu a výměru)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výše i adresu svého zmocněnce v tuzemsku pro doručování."</w:t>
      </w:r>
    </w:p>
  </w:footnote>
  <w:footnote w:id="9"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  <w:vertAlign w:val="superscript"/>
        </w:rPr>
        <w:t>H&gt;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včetně zániku poplatkové povinnosti</w:t>
      </w:r>
    </w:p>
  </w:footnote>
  <w:footnote w:id="10">
    <w:p>
      <w:pPr>
        <w:pStyle w:val="Style2"/>
        <w:tabs>
          <w:tab w:leader="none" w:pos="1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14a odst. 3 zákona o místních poplatcích</w:t>
      </w:r>
    </w:p>
  </w:footnote>
  <w:footnote w:id="11">
    <w:p>
      <w:pPr>
        <w:pStyle w:val="Style2"/>
        <w:tabs>
          <w:tab w:leader="none" w:pos="2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§ 4 odst. 1 a 3 zákona o místních poplatcích („Z akcí pořádaných na veřejném prostranství, jejichž výtěžek je</w:t>
      </w:r>
    </w:p>
  </w:footnote>
  <w:footnote w:id="12"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n)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§ 11 odst. 1 zákona o místních poplatcích</w:t>
      </w:r>
    </w:p>
  </w:footnote>
  <w:footnote w:id="13"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§ 11 odst. 3 zákona o místních poplatcích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4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4">
    <w:name w:val="Char Style 4"/>
    <w:basedOn w:val="CharStyle3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">
    <w:name w:val="Char Style 5"/>
    <w:basedOn w:val="CharStyle3"/>
    <w:rPr>
      <w:lang w:val="cs-CZ" w:eastAsia="cs-CZ" w:bidi="cs-CZ"/>
      <w:i/>
      <w:iCs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7">
    <w:name w:val="Char Style 7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9">
    <w:name w:val="Char Style 9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11">
    <w:name w:val="Char Style 11 Exact"/>
    <w:basedOn w:val="DefaultParagraphFont"/>
    <w:link w:val="Style10"/>
    <w:rPr>
      <w:b w:val="0"/>
      <w:bCs w:val="0"/>
      <w:i/>
      <w:iCs/>
      <w:u w:val="none"/>
      <w:strike w:val="0"/>
      <w:smallCaps w:val="0"/>
      <w:sz w:val="26"/>
      <w:szCs w:val="26"/>
    </w:rPr>
  </w:style>
  <w:style w:type="character" w:customStyle="1" w:styleId="CharStyle12">
    <w:name w:val="Char Style 12 Exact"/>
    <w:basedOn w:val="CharStyle11"/>
    <w:rPr>
      <w:lang w:val="cs-CZ" w:eastAsia="cs-CZ" w:bidi="cs-CZ"/>
      <w:rFonts w:ascii="Times New Roman" w:eastAsia="Times New Roman" w:hAnsi="Times New Roman" w:cs="Times New Roman"/>
      <w:w w:val="100"/>
      <w:spacing w:val="0"/>
      <w:color w:val="766CB5"/>
      <w:position w:val="0"/>
    </w:rPr>
  </w:style>
  <w:style w:type="character" w:customStyle="1" w:styleId="CharStyle13">
    <w:name w:val="Char Style 13 Exact"/>
    <w:basedOn w:val="CharStyle11"/>
    <w:rPr>
      <w:lang w:val="1024"/>
      <w:b/>
      <w:bCs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Char Style 14 Exact"/>
    <w:basedOn w:val="CharStyle11"/>
    <w:rPr>
      <w:lang w:val="cs-CZ" w:eastAsia="cs-CZ" w:bidi="cs-CZ"/>
      <w:b/>
      <w:bCs/>
      <w:i/>
      <w:i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u w:val="none"/>
      <w:strike w:val="0"/>
      <w:smallCaps w:val="0"/>
      <w:sz w:val="38"/>
      <w:szCs w:val="38"/>
      <w:spacing w:val="80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/>
      <w:iCs/>
      <w:u w:val="none"/>
      <w:strike w:val="0"/>
      <w:smallCaps w:val="0"/>
      <w:sz w:val="23"/>
      <w:szCs w:val="23"/>
    </w:rPr>
  </w:style>
  <w:style w:type="character" w:customStyle="1" w:styleId="CharStyle23">
    <w:name w:val="Char Style 23"/>
    <w:basedOn w:val="CharStyle22"/>
    <w:rPr>
      <w:lang w:val="cs-CZ" w:eastAsia="cs-CZ" w:bidi="cs-CZ"/>
      <w:i/>
      <w:i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27">
    <w:name w:val="Char Style 27"/>
    <w:basedOn w:val="DefaultParagraphFont"/>
    <w:link w:val="Style26"/>
    <w:rPr>
      <w:b/>
      <w:bCs/>
      <w:i w:val="0"/>
      <w:iCs w:val="0"/>
      <w:u w:val="none"/>
      <w:strike w:val="0"/>
      <w:smallCaps w:val="0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31">
    <w:name w:val="Char Style 31"/>
    <w:basedOn w:val="DefaultParagraphFont"/>
    <w:link w:val="Style30"/>
    <w:rPr>
      <w:b/>
      <w:bCs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33">
    <w:name w:val="Char Style 33"/>
    <w:basedOn w:val="DefaultParagraphFont"/>
    <w:link w:val="Style32"/>
    <w:rPr>
      <w:b/>
      <w:bCs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35">
    <w:name w:val="Char Style 35"/>
    <w:basedOn w:val="DefaultParagraphFont"/>
    <w:link w:val="Style34"/>
    <w:rPr>
      <w:b/>
      <w:bCs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36">
    <w:name w:val="Char Style 36"/>
    <w:basedOn w:val="CharStyle35"/>
    <w:rPr>
      <w:lang w:val="cs-CZ" w:eastAsia="cs-CZ" w:bidi="cs-CZ"/>
      <w:b/>
      <w:b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Char Style 38"/>
    <w:basedOn w:val="DefaultParagraphFont"/>
    <w:link w:val="Style37"/>
    <w:rPr>
      <w:b/>
      <w:bCs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40">
    <w:name w:val="Char Style 40"/>
    <w:basedOn w:val="DefaultParagraphFont"/>
    <w:link w:val="Style39"/>
    <w:rPr>
      <w:b/>
      <w:bCs/>
      <w:i w:val="0"/>
      <w:iCs w:val="0"/>
      <w:u w:val="none"/>
      <w:strike w:val="0"/>
      <w:smallCaps w:val="0"/>
      <w:sz w:val="24"/>
      <w:szCs w:val="24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44">
    <w:name w:val="Char Style 44"/>
    <w:basedOn w:val="DefaultParagraphFont"/>
    <w:link w:val="Style43"/>
    <w:rPr>
      <w:b/>
      <w:bCs/>
      <w:i w:val="0"/>
      <w:iCs w:val="0"/>
      <w:u w:val="none"/>
      <w:strike w:val="0"/>
      <w:smallCaps w:val="0"/>
    </w:rPr>
  </w:style>
  <w:style w:type="character" w:customStyle="1" w:styleId="CharStyle45">
    <w:name w:val="Char Style 45"/>
    <w:basedOn w:val="CharStyle44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26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both"/>
      <w:spacing w:after="300" w:line="24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both"/>
      <w:spacing w:before="300" w:line="288" w:lineRule="exact"/>
    </w:pPr>
    <w:rPr>
      <w:b w:val="0"/>
      <w:bCs w:val="0"/>
      <w:i/>
      <w:iCs/>
      <w:u w:val="none"/>
      <w:strike w:val="0"/>
      <w:smallCaps w:val="0"/>
      <w:sz w:val="26"/>
      <w:szCs w:val="26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center"/>
      <w:outlineLvl w:val="0"/>
      <w:spacing w:after="180" w:line="420" w:lineRule="exact"/>
    </w:pPr>
    <w:rPr>
      <w:b/>
      <w:bCs/>
      <w:i w:val="0"/>
      <w:iCs w:val="0"/>
      <w:u w:val="none"/>
      <w:strike w:val="0"/>
      <w:smallCaps w:val="0"/>
      <w:sz w:val="38"/>
      <w:szCs w:val="38"/>
      <w:spacing w:val="80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center"/>
      <w:outlineLvl w:val="1"/>
      <w:spacing w:before="180" w:line="557" w:lineRule="exact"/>
    </w:pPr>
    <w:rPr>
      <w:b/>
      <w:bCs/>
      <w:i w:val="0"/>
      <w:iCs w:val="0"/>
      <w:u w:val="none"/>
      <w:strike w:val="0"/>
      <w:smallCaps w:val="0"/>
      <w:sz w:val="30"/>
      <w:szCs w:val="30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spacing w:line="557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269" w:lineRule="exact"/>
    </w:pPr>
    <w:rPr>
      <w:b w:val="0"/>
      <w:bCs w:val="0"/>
      <w:i/>
      <w:iCs/>
      <w:u w:val="none"/>
      <w:strike w:val="0"/>
      <w:smallCaps w:val="0"/>
      <w:sz w:val="23"/>
      <w:szCs w:val="23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jc w:val="center"/>
      <w:outlineLvl w:val="1"/>
      <w:spacing w:before="280"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jc w:val="center"/>
      <w:outlineLvl w:val="3"/>
      <w:spacing w:after="28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jc w:val="both"/>
      <w:spacing w:before="280" w:line="269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jc w:val="center"/>
      <w:outlineLvl w:val="2"/>
      <w:spacing w:before="280" w:line="266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jc w:val="center"/>
      <w:spacing w:before="280" w:line="266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jc w:val="center"/>
      <w:outlineLvl w:val="2"/>
      <w:spacing w:before="280" w:line="266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  <w:jc w:val="center"/>
      <w:outlineLvl w:val="2"/>
      <w:spacing w:before="280" w:line="266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jc w:val="center"/>
      <w:outlineLvl w:val="2"/>
      <w:spacing w:line="266" w:lineRule="exact"/>
    </w:pPr>
    <w:rPr>
      <w:b/>
      <w:bCs/>
      <w:i w:val="0"/>
      <w:iCs w:val="0"/>
      <w:u w:val="none"/>
      <w:strike w:val="0"/>
      <w:smallCaps w:val="0"/>
      <w:sz w:val="24"/>
      <w:szCs w:val="24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jc w:val="center"/>
      <w:outlineLvl w:val="2"/>
      <w:spacing w:before="280" w:line="244" w:lineRule="exact"/>
    </w:pPr>
    <w:rPr>
      <w:b/>
      <w:bCs/>
      <w:i w:val="0"/>
      <w:iCs w:val="0"/>
      <w:u w:val="none"/>
      <w:strike w:val="0"/>
      <w:smallCaps w:val="0"/>
      <w:sz w:val="22"/>
      <w:szCs w:val="22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jc w:val="center"/>
      <w:spacing w:before="280" w:after="280" w:line="274" w:lineRule="exact"/>
    </w:pPr>
    <w:rPr>
      <w:b/>
      <w:bCs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Ciglova</dc:creator>
  <cp:keywords/>
</cp:coreProperties>
</file>