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56"/>
        <w:ind w:left="2379" w:right="2497" w:firstLine="0"/>
        <w:jc w:val="center"/>
        <w:rPr>
          <w:sz w:val="44"/>
        </w:rPr>
      </w:pPr>
      <w:r>
        <w:rPr>
          <w:sz w:val="44"/>
        </w:rPr>
        <w:t>MĚSTO CHROPYNĚ</w:t>
      </w:r>
    </w:p>
    <w:p>
      <w:pPr>
        <w:pStyle w:val="BodyText"/>
        <w:rPr>
          <w:sz w:val="48"/>
        </w:rPr>
      </w:pPr>
    </w:p>
    <w:p>
      <w:pPr>
        <w:pStyle w:val="Heading1"/>
        <w:spacing w:line="480" w:lineRule="auto"/>
        <w:ind w:left="2379" w:right="2500"/>
      </w:pPr>
      <w:r>
        <w:rPr/>
        <w:t>Nařízení města Chropyně, kterým se vydává TRŽNÍ ŘÁD</w:t>
      </w:r>
    </w:p>
    <w:p>
      <w:pPr>
        <w:pStyle w:val="BodyText"/>
        <w:rPr>
          <w:b/>
        </w:rPr>
      </w:pPr>
    </w:p>
    <w:p>
      <w:pPr>
        <w:pStyle w:val="BodyText"/>
        <w:ind w:left="824" w:right="115"/>
        <w:jc w:val="both"/>
      </w:pPr>
      <w:r>
        <w:rPr/>
        <w:t>Rada města Chropyně se na své schůzi dne 07.04.2025, usnesením č. 1390/85RM/2025 usnesla vydat na základě ustanovení § 18 zákona č. 455/1991 Sb., o živnostenském podnikání (živnostenský zákon), ve znění pozdějších předpisů, a v souladu s ustanovením § 11 odst. 1 a § 102 odst. 2 písm. d) zákona č. 128/2000 Sb., o obcích (obecní zřízení), ve znění pozdějších předpisů, toto nařízení:</w:t>
      </w:r>
    </w:p>
    <w:p>
      <w:pPr>
        <w:pStyle w:val="BodyText"/>
        <w:rPr>
          <w:sz w:val="26"/>
        </w:rPr>
      </w:pPr>
    </w:p>
    <w:p>
      <w:pPr>
        <w:pStyle w:val="BodyText"/>
        <w:rPr>
          <w:sz w:val="26"/>
        </w:rPr>
      </w:pPr>
    </w:p>
    <w:p>
      <w:pPr>
        <w:pStyle w:val="BodyText"/>
        <w:spacing w:before="231"/>
        <w:ind w:left="2379" w:right="2494"/>
        <w:jc w:val="center"/>
      </w:pPr>
      <w:r>
        <w:rPr/>
        <w:t>Čl. 1</w:t>
      </w:r>
    </w:p>
    <w:p>
      <w:pPr>
        <w:pStyle w:val="Heading1"/>
        <w:ind w:left="2379" w:right="2500"/>
      </w:pPr>
      <w:r>
        <w:rPr/>
        <w:t>Místa pro prodej zboží a poskytování služeb</w:t>
      </w:r>
    </w:p>
    <w:p>
      <w:pPr>
        <w:pStyle w:val="BodyText"/>
        <w:spacing w:before="6"/>
        <w:rPr>
          <w:b/>
        </w:rPr>
      </w:pPr>
    </w:p>
    <w:p>
      <w:pPr>
        <w:pStyle w:val="ListParagraph"/>
        <w:numPr>
          <w:ilvl w:val="0"/>
          <w:numId w:val="1"/>
        </w:numPr>
        <w:tabs>
          <w:tab w:pos="1166" w:val="left" w:leader="none"/>
        </w:tabs>
        <w:spacing w:line="235" w:lineRule="auto" w:before="1" w:after="0"/>
        <w:ind w:left="116" w:right="233" w:firstLine="707"/>
        <w:jc w:val="both"/>
        <w:rPr>
          <w:sz w:val="24"/>
        </w:rPr>
      </w:pPr>
      <w:r>
        <w:rPr>
          <w:sz w:val="24"/>
        </w:rPr>
        <w:t>Na území obce je možno mimo provozovnu k tomuto účelu určenou rozhodnutím, opatřením nebo jiným úkonem vyžadovaným stavebním zákonem</w:t>
      </w:r>
      <w:hyperlink w:history="true" w:anchor="_bookmark0">
        <w:r>
          <w:rPr>
            <w:position w:val="9"/>
            <w:sz w:val="16"/>
          </w:rPr>
          <w:t>1</w:t>
        </w:r>
      </w:hyperlink>
      <w:r>
        <w:rPr>
          <w:position w:val="9"/>
          <w:sz w:val="16"/>
        </w:rPr>
        <w:t> </w:t>
      </w:r>
      <w:r>
        <w:rPr>
          <w:sz w:val="24"/>
        </w:rPr>
        <w:t>nabízet a prodávat zboží (dále jen „prodej zboží“) a nabízet a poskytovat služby (dále jen „poskytování služeb“) na těchto</w:t>
      </w:r>
      <w:r>
        <w:rPr>
          <w:spacing w:val="-1"/>
          <w:sz w:val="24"/>
        </w:rPr>
        <w:t> </w:t>
      </w:r>
      <w:r>
        <w:rPr>
          <w:sz w:val="24"/>
        </w:rPr>
        <w:t>místech:</w:t>
      </w:r>
    </w:p>
    <w:p>
      <w:pPr>
        <w:pStyle w:val="ListParagraph"/>
        <w:numPr>
          <w:ilvl w:val="0"/>
          <w:numId w:val="2"/>
        </w:numPr>
        <w:tabs>
          <w:tab w:pos="551" w:val="left" w:leader="none"/>
        </w:tabs>
        <w:spacing w:line="240" w:lineRule="auto" w:before="0" w:after="0"/>
        <w:ind w:left="550" w:right="0" w:hanging="435"/>
        <w:jc w:val="both"/>
        <w:rPr>
          <w:sz w:val="24"/>
        </w:rPr>
      </w:pPr>
      <w:r>
        <w:rPr>
          <w:sz w:val="24"/>
        </w:rPr>
        <w:t>na jednotlivých tržních místech uvedených v příloze č. 1 a 2 tohoto</w:t>
      </w:r>
      <w:r>
        <w:rPr>
          <w:spacing w:val="-14"/>
          <w:sz w:val="24"/>
        </w:rPr>
        <w:t> </w:t>
      </w:r>
      <w:r>
        <w:rPr>
          <w:sz w:val="24"/>
        </w:rPr>
        <w:t>nařízení,</w:t>
      </w:r>
    </w:p>
    <w:p>
      <w:pPr>
        <w:pStyle w:val="ListParagraph"/>
        <w:numPr>
          <w:ilvl w:val="0"/>
          <w:numId w:val="2"/>
        </w:numPr>
        <w:tabs>
          <w:tab w:pos="494" w:val="left" w:leader="none"/>
        </w:tabs>
        <w:spacing w:line="240" w:lineRule="auto" w:before="0" w:after="0"/>
        <w:ind w:left="476" w:right="339" w:hanging="360"/>
        <w:jc w:val="both"/>
        <w:rPr>
          <w:sz w:val="24"/>
        </w:rPr>
      </w:pPr>
      <w:r>
        <w:rPr>
          <w:sz w:val="24"/>
        </w:rPr>
        <w:t>v restauračních zahrádkách a v předsunutých prodejních místech uvedených v příloze č.</w:t>
      </w:r>
      <w:r>
        <w:rPr>
          <w:spacing w:val="-36"/>
          <w:sz w:val="24"/>
        </w:rPr>
        <w:t> </w:t>
      </w:r>
      <w:r>
        <w:rPr>
          <w:sz w:val="24"/>
        </w:rPr>
        <w:t>3 tohoto</w:t>
      </w:r>
      <w:r>
        <w:rPr>
          <w:spacing w:val="-1"/>
          <w:sz w:val="24"/>
        </w:rPr>
        <w:t> </w:t>
      </w:r>
      <w:r>
        <w:rPr>
          <w:sz w:val="24"/>
        </w:rPr>
        <w:t>nařízení.</w:t>
      </w:r>
    </w:p>
    <w:p>
      <w:pPr>
        <w:pStyle w:val="ListParagraph"/>
        <w:numPr>
          <w:ilvl w:val="0"/>
          <w:numId w:val="1"/>
        </w:numPr>
        <w:tabs>
          <w:tab w:pos="1163" w:val="left" w:leader="none"/>
        </w:tabs>
        <w:spacing w:line="240" w:lineRule="auto" w:before="120" w:after="0"/>
        <w:ind w:left="116" w:right="928" w:firstLine="707"/>
        <w:jc w:val="both"/>
        <w:rPr>
          <w:sz w:val="24"/>
        </w:rPr>
      </w:pPr>
      <w:r>
        <w:rPr>
          <w:sz w:val="24"/>
        </w:rPr>
        <w:t>Místa pro prodej zboží a poskytování služeb se rozdělují tak, jak je uvedeno v přílohách č. 1-2 tohoto</w:t>
      </w:r>
      <w:r>
        <w:rPr>
          <w:spacing w:val="1"/>
          <w:sz w:val="24"/>
        </w:rPr>
        <w:t> </w:t>
      </w:r>
      <w:r>
        <w:rPr>
          <w:sz w:val="24"/>
        </w:rPr>
        <w:t>nařízení.</w:t>
      </w:r>
    </w:p>
    <w:p>
      <w:pPr>
        <w:pStyle w:val="BodyText"/>
      </w:pPr>
    </w:p>
    <w:p>
      <w:pPr>
        <w:pStyle w:val="ListParagraph"/>
        <w:numPr>
          <w:ilvl w:val="0"/>
          <w:numId w:val="1"/>
        </w:numPr>
        <w:tabs>
          <w:tab w:pos="1163" w:val="left" w:leader="none"/>
        </w:tabs>
        <w:spacing w:line="240" w:lineRule="auto" w:before="0" w:after="0"/>
        <w:ind w:left="1162" w:right="0" w:hanging="339"/>
        <w:jc w:val="both"/>
        <w:rPr>
          <w:sz w:val="24"/>
        </w:rPr>
      </w:pPr>
      <w:r>
        <w:rPr>
          <w:sz w:val="24"/>
        </w:rPr>
        <w:t>Pro účely tohoto nařízení se</w:t>
      </w:r>
      <w:r>
        <w:rPr>
          <w:spacing w:val="-1"/>
          <w:sz w:val="24"/>
        </w:rPr>
        <w:t> </w:t>
      </w:r>
      <w:r>
        <w:rPr>
          <w:sz w:val="24"/>
        </w:rPr>
        <w:t>rozumí:</w:t>
      </w:r>
    </w:p>
    <w:p>
      <w:pPr>
        <w:pStyle w:val="ListParagraph"/>
        <w:numPr>
          <w:ilvl w:val="0"/>
          <w:numId w:val="3"/>
        </w:numPr>
        <w:tabs>
          <w:tab w:pos="544" w:val="left" w:leader="none"/>
        </w:tabs>
        <w:spacing w:line="240" w:lineRule="auto" w:before="0" w:after="0"/>
        <w:ind w:left="543" w:right="244" w:hanging="428"/>
        <w:jc w:val="both"/>
        <w:rPr>
          <w:sz w:val="24"/>
        </w:rPr>
      </w:pPr>
      <w:r>
        <w:rPr>
          <w:sz w:val="24"/>
        </w:rPr>
        <w:t>místy pro prodej zboží a poskytování služeb, tržiště, jednotlivá tržní místa, restaurační zahrádky a předsunutá prodejní</w:t>
      </w:r>
      <w:r>
        <w:rPr>
          <w:spacing w:val="-1"/>
          <w:sz w:val="24"/>
        </w:rPr>
        <w:t> </w:t>
      </w:r>
      <w:r>
        <w:rPr>
          <w:sz w:val="24"/>
        </w:rPr>
        <w:t>místa,</w:t>
      </w:r>
    </w:p>
    <w:p>
      <w:pPr>
        <w:pStyle w:val="ListParagraph"/>
        <w:numPr>
          <w:ilvl w:val="0"/>
          <w:numId w:val="3"/>
        </w:numPr>
        <w:tabs>
          <w:tab w:pos="544" w:val="left" w:leader="none"/>
        </w:tabs>
        <w:spacing w:line="240" w:lineRule="auto" w:before="0" w:after="0"/>
        <w:ind w:left="543" w:right="267" w:hanging="428"/>
        <w:jc w:val="both"/>
        <w:rPr>
          <w:sz w:val="24"/>
        </w:rPr>
      </w:pPr>
      <w:r>
        <w:rPr>
          <w:sz w:val="24"/>
        </w:rPr>
        <w:t>tržištěm</w:t>
      </w:r>
      <w:r>
        <w:rPr>
          <w:spacing w:val="-13"/>
          <w:sz w:val="24"/>
        </w:rPr>
        <w:t> </w:t>
      </w:r>
      <w:r>
        <w:rPr>
          <w:sz w:val="24"/>
        </w:rPr>
        <w:t>neuzavíratelný,</w:t>
      </w:r>
      <w:r>
        <w:rPr>
          <w:spacing w:val="-9"/>
          <w:sz w:val="24"/>
        </w:rPr>
        <w:t> </w:t>
      </w:r>
      <w:r>
        <w:rPr>
          <w:sz w:val="24"/>
        </w:rPr>
        <w:t>uzavíratelný</w:t>
      </w:r>
      <w:r>
        <w:rPr>
          <w:spacing w:val="-12"/>
          <w:sz w:val="24"/>
        </w:rPr>
        <w:t> </w:t>
      </w:r>
      <w:r>
        <w:rPr>
          <w:sz w:val="24"/>
        </w:rPr>
        <w:t>nebo</w:t>
      </w:r>
      <w:r>
        <w:rPr>
          <w:spacing w:val="-9"/>
          <w:sz w:val="24"/>
        </w:rPr>
        <w:t> </w:t>
      </w:r>
      <w:r>
        <w:rPr>
          <w:sz w:val="24"/>
        </w:rPr>
        <w:t>částečně</w:t>
      </w:r>
      <w:r>
        <w:rPr>
          <w:spacing w:val="-14"/>
          <w:sz w:val="24"/>
        </w:rPr>
        <w:t> </w:t>
      </w:r>
      <w:r>
        <w:rPr>
          <w:sz w:val="24"/>
        </w:rPr>
        <w:t>uzavíratelný</w:t>
      </w:r>
      <w:r>
        <w:rPr>
          <w:spacing w:val="-11"/>
          <w:sz w:val="24"/>
        </w:rPr>
        <w:t> </w:t>
      </w:r>
      <w:r>
        <w:rPr>
          <w:sz w:val="24"/>
        </w:rPr>
        <w:t>nezastřešený</w:t>
      </w:r>
      <w:r>
        <w:rPr>
          <w:spacing w:val="-9"/>
          <w:sz w:val="24"/>
        </w:rPr>
        <w:t> </w:t>
      </w:r>
      <w:r>
        <w:rPr>
          <w:sz w:val="24"/>
        </w:rPr>
        <w:t>prostor,</w:t>
      </w:r>
      <w:r>
        <w:rPr>
          <w:spacing w:val="-12"/>
          <w:sz w:val="24"/>
        </w:rPr>
        <w:t> </w:t>
      </w:r>
      <w:r>
        <w:rPr>
          <w:sz w:val="24"/>
        </w:rPr>
        <w:t>kde je příležitostně prodáváno zboží nebo jsou poskytovány</w:t>
      </w:r>
      <w:r>
        <w:rPr>
          <w:spacing w:val="-2"/>
          <w:sz w:val="24"/>
        </w:rPr>
        <w:t> </w:t>
      </w:r>
      <w:r>
        <w:rPr>
          <w:sz w:val="24"/>
        </w:rPr>
        <w:t>služby,</w:t>
      </w:r>
    </w:p>
    <w:p>
      <w:pPr>
        <w:pStyle w:val="ListParagraph"/>
        <w:numPr>
          <w:ilvl w:val="0"/>
          <w:numId w:val="3"/>
        </w:numPr>
        <w:tabs>
          <w:tab w:pos="544" w:val="left" w:leader="none"/>
        </w:tabs>
        <w:spacing w:line="240" w:lineRule="auto" w:before="0" w:after="0"/>
        <w:ind w:left="543" w:right="236" w:hanging="428"/>
        <w:jc w:val="both"/>
        <w:rPr>
          <w:sz w:val="24"/>
        </w:rPr>
      </w:pPr>
      <w:r>
        <w:rPr>
          <w:sz w:val="24"/>
        </w:rPr>
        <w:t>jednotlivým tržním místem jednotlivé konkrétní místo, vymezené zpravidla prodejním stánkem, prodejním zařízením, zařízením pro poskytování služeb, případně nezbytným prodejním prostorem jednoho prodejce, na kterém je mimo zkolaudovanou provozovnu možno prodávat zboží nebo poskytovat</w:t>
      </w:r>
      <w:r>
        <w:rPr>
          <w:spacing w:val="-4"/>
          <w:sz w:val="24"/>
        </w:rPr>
        <w:t> </w:t>
      </w:r>
      <w:r>
        <w:rPr>
          <w:sz w:val="24"/>
        </w:rPr>
        <w:t>služby,</w:t>
      </w:r>
    </w:p>
    <w:p>
      <w:pPr>
        <w:pStyle w:val="ListParagraph"/>
        <w:numPr>
          <w:ilvl w:val="0"/>
          <w:numId w:val="3"/>
        </w:numPr>
        <w:tabs>
          <w:tab w:pos="544" w:val="left" w:leader="none"/>
        </w:tabs>
        <w:spacing w:line="240" w:lineRule="auto" w:before="1" w:after="0"/>
        <w:ind w:left="543" w:right="231" w:hanging="428"/>
        <w:jc w:val="both"/>
        <w:rPr>
          <w:sz w:val="24"/>
        </w:rPr>
      </w:pPr>
      <w:r>
        <w:rPr>
          <w:sz w:val="24"/>
        </w:rPr>
        <w:t>předsunutým prodejním místem prodejní místo mimo provozovnu, na kterém se prodává zboží</w:t>
      </w:r>
      <w:r>
        <w:rPr>
          <w:spacing w:val="-9"/>
          <w:sz w:val="24"/>
        </w:rPr>
        <w:t> </w:t>
      </w:r>
      <w:r>
        <w:rPr>
          <w:sz w:val="24"/>
        </w:rPr>
        <w:t>nebo</w:t>
      </w:r>
      <w:r>
        <w:rPr>
          <w:spacing w:val="-10"/>
          <w:sz w:val="24"/>
        </w:rPr>
        <w:t> </w:t>
      </w:r>
      <w:r>
        <w:rPr>
          <w:sz w:val="24"/>
        </w:rPr>
        <w:t>poskytují</w:t>
      </w:r>
      <w:r>
        <w:rPr>
          <w:spacing w:val="-10"/>
          <w:sz w:val="24"/>
        </w:rPr>
        <w:t> </w:t>
      </w:r>
      <w:r>
        <w:rPr>
          <w:sz w:val="24"/>
        </w:rPr>
        <w:t>služby</w:t>
      </w:r>
      <w:r>
        <w:rPr>
          <w:spacing w:val="-10"/>
          <w:sz w:val="24"/>
        </w:rPr>
        <w:t> </w:t>
      </w:r>
      <w:r>
        <w:rPr>
          <w:sz w:val="24"/>
        </w:rPr>
        <w:t>stejného</w:t>
      </w:r>
      <w:r>
        <w:rPr>
          <w:spacing w:val="-8"/>
          <w:sz w:val="24"/>
        </w:rPr>
        <w:t> </w:t>
      </w:r>
      <w:r>
        <w:rPr>
          <w:sz w:val="24"/>
        </w:rPr>
        <w:t>druhu</w:t>
      </w:r>
      <w:r>
        <w:rPr>
          <w:spacing w:val="-12"/>
          <w:sz w:val="24"/>
        </w:rPr>
        <w:t> </w:t>
      </w:r>
      <w:r>
        <w:rPr>
          <w:sz w:val="24"/>
        </w:rPr>
        <w:t>jako</w:t>
      </w:r>
      <w:r>
        <w:rPr>
          <w:spacing w:val="-13"/>
          <w:sz w:val="24"/>
        </w:rPr>
        <w:t> </w:t>
      </w:r>
      <w:r>
        <w:rPr>
          <w:sz w:val="24"/>
        </w:rPr>
        <w:t>v</w:t>
      </w:r>
      <w:r>
        <w:rPr>
          <w:spacing w:val="-7"/>
          <w:sz w:val="24"/>
        </w:rPr>
        <w:t> </w:t>
      </w:r>
      <w:r>
        <w:rPr>
          <w:sz w:val="24"/>
        </w:rPr>
        <w:t>související</w:t>
      </w:r>
      <w:r>
        <w:rPr>
          <w:spacing w:val="-7"/>
          <w:sz w:val="24"/>
        </w:rPr>
        <w:t> </w:t>
      </w:r>
      <w:r>
        <w:rPr>
          <w:sz w:val="24"/>
        </w:rPr>
        <w:t>provozovně,</w:t>
      </w:r>
      <w:r>
        <w:rPr>
          <w:spacing w:val="-11"/>
          <w:sz w:val="24"/>
        </w:rPr>
        <w:t> </w:t>
      </w:r>
      <w:r>
        <w:rPr>
          <w:sz w:val="24"/>
        </w:rPr>
        <w:t>nachází</w:t>
      </w:r>
      <w:r>
        <w:rPr>
          <w:spacing w:val="-9"/>
          <w:sz w:val="24"/>
        </w:rPr>
        <w:t> </w:t>
      </w:r>
      <w:r>
        <w:rPr>
          <w:sz w:val="24"/>
        </w:rPr>
        <w:t>se</w:t>
      </w:r>
      <w:r>
        <w:rPr>
          <w:spacing w:val="-11"/>
          <w:sz w:val="24"/>
        </w:rPr>
        <w:t> </w:t>
      </w:r>
      <w:r>
        <w:rPr>
          <w:sz w:val="24"/>
        </w:rPr>
        <w:t>v</w:t>
      </w:r>
      <w:r>
        <w:rPr>
          <w:spacing w:val="-11"/>
          <w:sz w:val="24"/>
        </w:rPr>
        <w:t> </w:t>
      </w:r>
      <w:r>
        <w:rPr>
          <w:sz w:val="24"/>
        </w:rPr>
        <w:t>její bezprostřední blízkosti, má stejného provozovatele a je pro prodej zboží nebo</w:t>
      </w:r>
      <w:r>
        <w:rPr>
          <w:spacing w:val="-41"/>
          <w:sz w:val="24"/>
        </w:rPr>
        <w:t> </w:t>
      </w:r>
      <w:r>
        <w:rPr>
          <w:sz w:val="24"/>
        </w:rPr>
        <w:t>poskytování služeb vybaveno příslušným zařízením,</w:t>
      </w:r>
    </w:p>
    <w:p>
      <w:pPr>
        <w:pStyle w:val="ListParagraph"/>
        <w:numPr>
          <w:ilvl w:val="0"/>
          <w:numId w:val="3"/>
        </w:numPr>
        <w:tabs>
          <w:tab w:pos="544" w:val="left" w:leader="none"/>
        </w:tabs>
        <w:spacing w:line="240" w:lineRule="auto" w:before="0" w:after="0"/>
        <w:ind w:left="543" w:right="246" w:hanging="428"/>
        <w:jc w:val="both"/>
        <w:rPr>
          <w:sz w:val="24"/>
        </w:rPr>
      </w:pPr>
      <w:r>
        <w:rPr>
          <w:sz w:val="24"/>
        </w:rPr>
        <w:t>restaurační zahrádkou předsunuté prodejní místo, na kterém se prodává zboží nebo poskytují služby v rámci živnosti „hostinská</w:t>
      </w:r>
      <w:r>
        <w:rPr>
          <w:spacing w:val="-9"/>
          <w:sz w:val="24"/>
        </w:rPr>
        <w:t> </w:t>
      </w:r>
      <w:r>
        <w:rPr>
          <w:sz w:val="24"/>
        </w:rPr>
        <w:t>činnost“.</w:t>
      </w:r>
    </w:p>
    <w:p>
      <w:pPr>
        <w:pStyle w:val="BodyText"/>
        <w:rPr>
          <w:sz w:val="20"/>
        </w:rPr>
      </w:pPr>
    </w:p>
    <w:p>
      <w:pPr>
        <w:pStyle w:val="BodyText"/>
        <w:rPr>
          <w:sz w:val="20"/>
        </w:rPr>
      </w:pPr>
    </w:p>
    <w:p>
      <w:pPr>
        <w:pStyle w:val="BodyText"/>
        <w:rPr>
          <w:sz w:val="20"/>
        </w:rPr>
      </w:pPr>
    </w:p>
    <w:p>
      <w:pPr>
        <w:pStyle w:val="BodyText"/>
        <w:rPr>
          <w:sz w:val="10"/>
        </w:rPr>
      </w:pPr>
      <w:r>
        <w:rPr/>
        <w:pict>
          <v:shape style="position:absolute;margin-left:70.800003pt;margin-top:8.002773pt;width:144.050pt;height:.1pt;mso-position-horizontal-relative:page;mso-position-vertical-relative:paragraph;z-index:-251658240;mso-wrap-distance-left:0;mso-wrap-distance-right:0" coordorigin="1416,160" coordsize="2881,0" path="m1416,160l4297,160e" filled="false" stroked="true" strokeweight=".6pt" strokecolor="#000000">
            <v:path arrowok="t"/>
            <v:stroke dashstyle="solid"/>
            <w10:wrap type="topAndBottom"/>
          </v:shape>
        </w:pict>
      </w:r>
    </w:p>
    <w:p>
      <w:pPr>
        <w:pStyle w:val="BodyText"/>
        <w:spacing w:line="242" w:lineRule="auto" w:before="39"/>
        <w:ind w:left="116" w:right="588"/>
      </w:pPr>
      <w:bookmarkStart w:name="_bookmark0" w:id="1"/>
      <w:bookmarkEnd w:id="1"/>
      <w:r>
        <w:rPr/>
      </w:r>
      <w:r>
        <w:rPr>
          <w:position w:val="7"/>
          <w:sz w:val="13"/>
        </w:rPr>
        <w:t>1 </w:t>
      </w:r>
      <w:r>
        <w:rPr/>
        <w:t>zákon č. 183/2006 Sb., o územním plánování a stavebním řádu (stavební zákon), ve znění pozdějších předpisů.</w:t>
      </w:r>
    </w:p>
    <w:p>
      <w:pPr>
        <w:spacing w:after="0" w:line="242" w:lineRule="auto"/>
        <w:sectPr>
          <w:footerReference w:type="default" r:id="rId5"/>
          <w:type w:val="continuous"/>
          <w:pgSz w:w="11920" w:h="16850"/>
          <w:pgMar w:footer="1049" w:top="1340" w:bottom="1240" w:left="1300" w:right="1180"/>
          <w:pgNumType w:start="1"/>
        </w:sectPr>
      </w:pPr>
    </w:p>
    <w:p>
      <w:pPr>
        <w:pStyle w:val="BodyText"/>
        <w:spacing w:before="71"/>
        <w:ind w:left="2379" w:right="2494"/>
        <w:jc w:val="center"/>
      </w:pPr>
      <w:r>
        <w:rPr/>
        <w:t>Čl. 2</w:t>
      </w:r>
    </w:p>
    <w:p>
      <w:pPr>
        <w:pStyle w:val="Heading1"/>
        <w:ind w:right="493"/>
      </w:pPr>
      <w:r>
        <w:rPr/>
        <w:t>Stanovení kapacity a požadavků na vybavenost na místech pro prodej zboží a poskytování služeb</w:t>
      </w:r>
    </w:p>
    <w:p>
      <w:pPr>
        <w:pStyle w:val="BodyText"/>
        <w:rPr>
          <w:b/>
        </w:rPr>
      </w:pPr>
    </w:p>
    <w:p>
      <w:pPr>
        <w:pStyle w:val="ListParagraph"/>
        <w:numPr>
          <w:ilvl w:val="1"/>
          <w:numId w:val="3"/>
        </w:numPr>
        <w:tabs>
          <w:tab w:pos="1163" w:val="left" w:leader="none"/>
        </w:tabs>
        <w:spacing w:line="240" w:lineRule="auto" w:before="0" w:after="0"/>
        <w:ind w:left="116" w:right="274" w:firstLine="707"/>
        <w:jc w:val="left"/>
        <w:rPr>
          <w:sz w:val="24"/>
        </w:rPr>
      </w:pPr>
      <w:r>
        <w:rPr>
          <w:sz w:val="24"/>
        </w:rPr>
        <w:t>Kapacita jednotlivých míst pro  prodej  zboží  a poskytování  služeb je stanovena  v přílohách č. 1,2,3 tohoto</w:t>
      </w:r>
      <w:r>
        <w:rPr>
          <w:spacing w:val="-1"/>
          <w:sz w:val="24"/>
        </w:rPr>
        <w:t> </w:t>
      </w:r>
      <w:r>
        <w:rPr>
          <w:sz w:val="24"/>
        </w:rPr>
        <w:t>nařízení.</w:t>
      </w:r>
    </w:p>
    <w:p>
      <w:pPr>
        <w:pStyle w:val="BodyText"/>
      </w:pPr>
    </w:p>
    <w:p>
      <w:pPr>
        <w:pStyle w:val="ListParagraph"/>
        <w:numPr>
          <w:ilvl w:val="1"/>
          <w:numId w:val="3"/>
        </w:numPr>
        <w:tabs>
          <w:tab w:pos="1163" w:val="left" w:leader="none"/>
        </w:tabs>
        <w:spacing w:line="240" w:lineRule="auto" w:before="0" w:after="0"/>
        <w:ind w:left="116" w:right="270" w:firstLine="707"/>
        <w:jc w:val="left"/>
        <w:rPr>
          <w:sz w:val="24"/>
        </w:rPr>
      </w:pPr>
      <w:r>
        <w:rPr>
          <w:sz w:val="24"/>
        </w:rPr>
        <w:t>Při prodeji zboží a poskytování služeb jsou prodávající a poskytovatelé služeb povinni:</w:t>
      </w:r>
    </w:p>
    <w:p>
      <w:pPr>
        <w:pStyle w:val="ListParagraph"/>
        <w:numPr>
          <w:ilvl w:val="0"/>
          <w:numId w:val="4"/>
        </w:numPr>
        <w:tabs>
          <w:tab w:pos="541" w:val="left" w:leader="none"/>
          <w:tab w:pos="542" w:val="left" w:leader="none"/>
        </w:tabs>
        <w:spacing w:line="240" w:lineRule="auto" w:before="0" w:after="0"/>
        <w:ind w:left="541" w:right="0" w:hanging="426"/>
        <w:jc w:val="left"/>
        <w:rPr>
          <w:sz w:val="24"/>
        </w:rPr>
      </w:pPr>
      <w:r>
        <w:rPr>
          <w:sz w:val="24"/>
        </w:rPr>
        <w:t>k nabídce zboží, jeho prodeji a poskytování služeb užívat jen místa k tomu</w:t>
      </w:r>
      <w:r>
        <w:rPr>
          <w:spacing w:val="-20"/>
          <w:sz w:val="24"/>
        </w:rPr>
        <w:t> </w:t>
      </w:r>
      <w:r>
        <w:rPr>
          <w:sz w:val="24"/>
        </w:rPr>
        <w:t>určená,</w:t>
      </w:r>
    </w:p>
    <w:p>
      <w:pPr>
        <w:pStyle w:val="ListParagraph"/>
        <w:numPr>
          <w:ilvl w:val="0"/>
          <w:numId w:val="4"/>
        </w:numPr>
        <w:tabs>
          <w:tab w:pos="529" w:val="left" w:leader="none"/>
          <w:tab w:pos="530" w:val="left" w:leader="none"/>
        </w:tabs>
        <w:spacing w:line="240" w:lineRule="auto" w:before="0" w:after="0"/>
        <w:ind w:left="529" w:right="0" w:hanging="414"/>
        <w:jc w:val="left"/>
        <w:rPr>
          <w:sz w:val="24"/>
        </w:rPr>
      </w:pPr>
      <w:r>
        <w:rPr>
          <w:sz w:val="24"/>
        </w:rPr>
        <w:t>udržovat čistotu prodejních</w:t>
      </w:r>
      <w:r>
        <w:rPr>
          <w:spacing w:val="-3"/>
          <w:sz w:val="24"/>
        </w:rPr>
        <w:t> </w:t>
      </w:r>
      <w:r>
        <w:rPr>
          <w:sz w:val="24"/>
        </w:rPr>
        <w:t>zařízení,</w:t>
      </w:r>
    </w:p>
    <w:p>
      <w:pPr>
        <w:pStyle w:val="ListParagraph"/>
        <w:numPr>
          <w:ilvl w:val="0"/>
          <w:numId w:val="4"/>
        </w:numPr>
        <w:tabs>
          <w:tab w:pos="514" w:val="left" w:leader="none"/>
          <w:tab w:pos="515" w:val="left" w:leader="none"/>
        </w:tabs>
        <w:spacing w:line="240" w:lineRule="auto" w:before="0" w:after="0"/>
        <w:ind w:left="514" w:right="0" w:hanging="399"/>
        <w:jc w:val="left"/>
        <w:rPr>
          <w:sz w:val="24"/>
        </w:rPr>
      </w:pPr>
      <w:r>
        <w:rPr>
          <w:sz w:val="24"/>
        </w:rPr>
        <w:t>zabezpečovat průběžně úklid prodejního místa a jeho</w:t>
      </w:r>
      <w:r>
        <w:rPr>
          <w:spacing w:val="-10"/>
          <w:sz w:val="24"/>
        </w:rPr>
        <w:t> </w:t>
      </w:r>
      <w:r>
        <w:rPr>
          <w:sz w:val="24"/>
        </w:rPr>
        <w:t>okolí,</w:t>
      </w:r>
    </w:p>
    <w:p>
      <w:pPr>
        <w:pStyle w:val="ListParagraph"/>
        <w:numPr>
          <w:ilvl w:val="0"/>
          <w:numId w:val="4"/>
        </w:numPr>
        <w:tabs>
          <w:tab w:pos="529" w:val="left" w:leader="none"/>
          <w:tab w:pos="530" w:val="left" w:leader="none"/>
        </w:tabs>
        <w:spacing w:line="240" w:lineRule="auto" w:before="1" w:after="0"/>
        <w:ind w:left="529" w:right="0" w:hanging="414"/>
        <w:jc w:val="left"/>
        <w:rPr>
          <w:sz w:val="24"/>
        </w:rPr>
      </w:pPr>
      <w:r>
        <w:rPr>
          <w:sz w:val="24"/>
        </w:rPr>
        <w:t>odkládat obaly od zboží a ostatní odpady na určená místa, popř. je třídit podle</w:t>
      </w:r>
      <w:r>
        <w:rPr>
          <w:spacing w:val="-25"/>
          <w:sz w:val="24"/>
        </w:rPr>
        <w:t> </w:t>
      </w:r>
      <w:r>
        <w:rPr>
          <w:sz w:val="24"/>
        </w:rPr>
        <w:t>druhu,</w:t>
      </w:r>
    </w:p>
    <w:p>
      <w:pPr>
        <w:pStyle w:val="ListParagraph"/>
        <w:numPr>
          <w:ilvl w:val="0"/>
          <w:numId w:val="4"/>
        </w:numPr>
        <w:tabs>
          <w:tab w:pos="514" w:val="left" w:leader="none"/>
          <w:tab w:pos="515" w:val="left" w:leader="none"/>
        </w:tabs>
        <w:spacing w:line="240" w:lineRule="auto" w:before="0" w:after="0"/>
        <w:ind w:left="514" w:right="0" w:hanging="399"/>
        <w:jc w:val="left"/>
        <w:rPr>
          <w:sz w:val="24"/>
        </w:rPr>
      </w:pPr>
      <w:r>
        <w:rPr>
          <w:sz w:val="24"/>
        </w:rPr>
        <w:t>neblokovat bezdůvodně průchod místa mezi jednotlivými prodejními</w:t>
      </w:r>
      <w:r>
        <w:rPr>
          <w:spacing w:val="-8"/>
          <w:sz w:val="24"/>
        </w:rPr>
        <w:t> </w:t>
      </w:r>
      <w:r>
        <w:rPr>
          <w:sz w:val="24"/>
        </w:rPr>
        <w:t>místy.</w:t>
      </w:r>
    </w:p>
    <w:p>
      <w:pPr>
        <w:pStyle w:val="BodyText"/>
        <w:rPr>
          <w:sz w:val="26"/>
        </w:rPr>
      </w:pPr>
    </w:p>
    <w:p>
      <w:pPr>
        <w:pStyle w:val="BodyText"/>
        <w:rPr>
          <w:sz w:val="26"/>
        </w:rPr>
      </w:pPr>
    </w:p>
    <w:p>
      <w:pPr>
        <w:pStyle w:val="BodyText"/>
        <w:spacing w:before="230"/>
        <w:ind w:left="2379" w:right="2494"/>
        <w:jc w:val="center"/>
      </w:pPr>
      <w:r>
        <w:rPr/>
        <w:t>Čl. 3</w:t>
      </w:r>
    </w:p>
    <w:p>
      <w:pPr>
        <w:pStyle w:val="Heading1"/>
        <w:ind w:right="500"/>
      </w:pPr>
      <w:r>
        <w:rPr/>
        <w:t>Doba prodeje zboží a poskytování služeb na místech pro prodej zboží a</w:t>
      </w:r>
      <w:r>
        <w:rPr>
          <w:spacing w:val="-26"/>
        </w:rPr>
        <w:t> </w:t>
      </w:r>
      <w:r>
        <w:rPr/>
        <w:t>poskytování služeb</w:t>
      </w:r>
    </w:p>
    <w:p>
      <w:pPr>
        <w:pStyle w:val="BodyText"/>
        <w:rPr>
          <w:b/>
        </w:rPr>
      </w:pPr>
    </w:p>
    <w:p>
      <w:pPr>
        <w:pStyle w:val="ListParagraph"/>
        <w:numPr>
          <w:ilvl w:val="1"/>
          <w:numId w:val="4"/>
        </w:numPr>
        <w:tabs>
          <w:tab w:pos="1166" w:val="left" w:leader="none"/>
        </w:tabs>
        <w:spacing w:line="240" w:lineRule="auto" w:before="0" w:after="0"/>
        <w:ind w:left="116" w:right="381" w:firstLine="707"/>
        <w:jc w:val="left"/>
        <w:rPr>
          <w:sz w:val="24"/>
        </w:rPr>
      </w:pPr>
      <w:r>
        <w:rPr>
          <w:sz w:val="24"/>
        </w:rPr>
        <w:t>Tržní  místa  mohou  být  provozována   po   celý   rok   a   doba   prodeje   zboží a poskytování služeb na tržních místech je od 7 hodin do 19</w:t>
      </w:r>
      <w:r>
        <w:rPr>
          <w:spacing w:val="-9"/>
          <w:sz w:val="24"/>
        </w:rPr>
        <w:t> </w:t>
      </w:r>
      <w:r>
        <w:rPr>
          <w:sz w:val="24"/>
        </w:rPr>
        <w:t>hodin.</w:t>
      </w:r>
    </w:p>
    <w:p>
      <w:pPr>
        <w:pStyle w:val="ListParagraph"/>
        <w:numPr>
          <w:ilvl w:val="1"/>
          <w:numId w:val="4"/>
        </w:numPr>
        <w:tabs>
          <w:tab w:pos="1178" w:val="left" w:leader="none"/>
        </w:tabs>
        <w:spacing w:line="240" w:lineRule="auto" w:before="120" w:after="0"/>
        <w:ind w:left="116" w:right="362" w:firstLine="707"/>
        <w:jc w:val="left"/>
        <w:rPr>
          <w:sz w:val="24"/>
        </w:rPr>
      </w:pPr>
      <w:r>
        <w:rPr>
          <w:sz w:val="24"/>
        </w:rPr>
        <w:t>V době konání např. Hanáckých slavností, Chropyňských hrátek, Hodů, v místech uvedených v příloze č. 2 je prodejní doba totožná s dobou konání dané</w:t>
      </w:r>
      <w:r>
        <w:rPr>
          <w:spacing w:val="-7"/>
          <w:sz w:val="24"/>
        </w:rPr>
        <w:t> </w:t>
      </w:r>
      <w:r>
        <w:rPr>
          <w:sz w:val="24"/>
        </w:rPr>
        <w:t>akce.</w:t>
      </w:r>
    </w:p>
    <w:p>
      <w:pPr>
        <w:pStyle w:val="ListParagraph"/>
        <w:numPr>
          <w:ilvl w:val="1"/>
          <w:numId w:val="4"/>
        </w:numPr>
        <w:tabs>
          <w:tab w:pos="1120" w:val="left" w:leader="none"/>
        </w:tabs>
        <w:spacing w:line="240" w:lineRule="auto" w:before="121" w:after="0"/>
        <w:ind w:left="116" w:right="263" w:firstLine="664"/>
        <w:jc w:val="left"/>
        <w:rPr>
          <w:sz w:val="24"/>
        </w:rPr>
      </w:pPr>
      <w:r>
        <w:rPr>
          <w:sz w:val="24"/>
        </w:rPr>
        <w:t>Restaurační zahrádky a předsunutá prodejní místa mohou být provozována po celý rok a doba prodeje je totožná s provozní dobou související</w:t>
      </w:r>
      <w:r>
        <w:rPr>
          <w:spacing w:val="-7"/>
          <w:sz w:val="24"/>
        </w:rPr>
        <w:t> </w:t>
      </w:r>
      <w:r>
        <w:rPr>
          <w:sz w:val="24"/>
        </w:rPr>
        <w:t>provozovny.</w:t>
      </w:r>
    </w:p>
    <w:p>
      <w:pPr>
        <w:pStyle w:val="BodyText"/>
        <w:rPr>
          <w:sz w:val="26"/>
        </w:rPr>
      </w:pPr>
    </w:p>
    <w:p>
      <w:pPr>
        <w:pStyle w:val="BodyText"/>
        <w:spacing w:before="5"/>
        <w:rPr>
          <w:sz w:val="32"/>
        </w:rPr>
      </w:pPr>
    </w:p>
    <w:p>
      <w:pPr>
        <w:pStyle w:val="BodyText"/>
        <w:ind w:left="2379" w:right="2491"/>
        <w:jc w:val="center"/>
      </w:pPr>
      <w:r>
        <w:rPr/>
        <w:t>Čl. 4</w:t>
      </w:r>
    </w:p>
    <w:p>
      <w:pPr>
        <w:pStyle w:val="Heading1"/>
        <w:spacing w:before="2"/>
        <w:ind w:right="493"/>
      </w:pPr>
      <w:r>
        <w:rPr/>
        <w:t>Pravidla k zajištění řádného provozu míst pro prodej zboží a poskytování služeb</w:t>
      </w:r>
    </w:p>
    <w:p>
      <w:pPr>
        <w:pStyle w:val="BodyText"/>
        <w:spacing w:before="9"/>
        <w:rPr>
          <w:b/>
          <w:sz w:val="23"/>
        </w:rPr>
      </w:pPr>
    </w:p>
    <w:p>
      <w:pPr>
        <w:pStyle w:val="BodyText"/>
        <w:ind w:left="116"/>
      </w:pPr>
      <w:r>
        <w:rPr/>
        <w:t>Provozovatel míst pro prodej zboží a poskytování služeb je povinen:</w:t>
      </w:r>
    </w:p>
    <w:p>
      <w:pPr>
        <w:pStyle w:val="ListParagraph"/>
        <w:numPr>
          <w:ilvl w:val="0"/>
          <w:numId w:val="5"/>
        </w:numPr>
        <w:tabs>
          <w:tab w:pos="501" w:val="left" w:leader="none"/>
        </w:tabs>
        <w:spacing w:line="240" w:lineRule="auto" w:before="1" w:after="0"/>
        <w:ind w:left="500" w:right="0" w:hanging="366"/>
        <w:jc w:val="left"/>
        <w:rPr>
          <w:sz w:val="24"/>
        </w:rPr>
      </w:pPr>
      <w:r>
        <w:rPr>
          <w:sz w:val="24"/>
        </w:rPr>
        <w:t>zveřejnit tržní řád, prodávaný sortiment zboží, druh poskytované služby, provozní</w:t>
      </w:r>
      <w:r>
        <w:rPr>
          <w:spacing w:val="-28"/>
          <w:sz w:val="24"/>
        </w:rPr>
        <w:t> </w:t>
      </w:r>
      <w:r>
        <w:rPr>
          <w:sz w:val="24"/>
        </w:rPr>
        <w:t>dobu,</w:t>
      </w:r>
    </w:p>
    <w:p>
      <w:pPr>
        <w:pStyle w:val="ListParagraph"/>
        <w:numPr>
          <w:ilvl w:val="0"/>
          <w:numId w:val="5"/>
        </w:numPr>
        <w:tabs>
          <w:tab w:pos="513" w:val="left" w:leader="none"/>
        </w:tabs>
        <w:spacing w:line="240" w:lineRule="auto" w:before="0" w:after="0"/>
        <w:ind w:left="512" w:right="0" w:hanging="378"/>
        <w:jc w:val="left"/>
        <w:rPr>
          <w:sz w:val="24"/>
        </w:rPr>
      </w:pPr>
      <w:r>
        <w:rPr>
          <w:sz w:val="24"/>
        </w:rPr>
        <w:t>prodejní místa provozovat v souladu s tímto tržním</w:t>
      </w:r>
      <w:r>
        <w:rPr>
          <w:spacing w:val="-4"/>
          <w:sz w:val="24"/>
        </w:rPr>
        <w:t> </w:t>
      </w:r>
      <w:r>
        <w:rPr>
          <w:sz w:val="24"/>
        </w:rPr>
        <w:t>řádem,</w:t>
      </w:r>
    </w:p>
    <w:p>
      <w:pPr>
        <w:pStyle w:val="ListParagraph"/>
        <w:numPr>
          <w:ilvl w:val="0"/>
          <w:numId w:val="5"/>
        </w:numPr>
        <w:tabs>
          <w:tab w:pos="501" w:val="left" w:leader="none"/>
        </w:tabs>
        <w:spacing w:line="240" w:lineRule="auto" w:before="0" w:after="0"/>
        <w:ind w:left="500" w:right="0" w:hanging="366"/>
        <w:jc w:val="left"/>
        <w:rPr>
          <w:sz w:val="24"/>
        </w:rPr>
      </w:pPr>
      <w:r>
        <w:rPr>
          <w:sz w:val="24"/>
        </w:rPr>
        <w:t>určit prodejcům zboží a poskytovatelům služeb konkrétní prodejní</w:t>
      </w:r>
      <w:r>
        <w:rPr>
          <w:spacing w:val="-12"/>
          <w:sz w:val="24"/>
        </w:rPr>
        <w:t> </w:t>
      </w:r>
      <w:r>
        <w:rPr>
          <w:sz w:val="24"/>
        </w:rPr>
        <w:t>místa,</w:t>
      </w:r>
    </w:p>
    <w:p>
      <w:pPr>
        <w:pStyle w:val="ListParagraph"/>
        <w:numPr>
          <w:ilvl w:val="0"/>
          <w:numId w:val="5"/>
        </w:numPr>
        <w:tabs>
          <w:tab w:pos="513" w:val="left" w:leader="none"/>
        </w:tabs>
        <w:spacing w:line="240" w:lineRule="auto" w:before="0" w:after="0"/>
        <w:ind w:left="512" w:right="0" w:hanging="378"/>
        <w:jc w:val="left"/>
        <w:rPr>
          <w:sz w:val="24"/>
        </w:rPr>
      </w:pPr>
      <w:r>
        <w:rPr>
          <w:sz w:val="24"/>
        </w:rPr>
        <w:t>zabezpečit řádný provoz, udržování čistoty a provádění trvalého</w:t>
      </w:r>
      <w:r>
        <w:rPr>
          <w:spacing w:val="-1"/>
          <w:sz w:val="24"/>
        </w:rPr>
        <w:t> </w:t>
      </w:r>
      <w:r>
        <w:rPr>
          <w:sz w:val="24"/>
        </w:rPr>
        <w:t>úklidu,</w:t>
      </w:r>
    </w:p>
    <w:p>
      <w:pPr>
        <w:pStyle w:val="ListParagraph"/>
        <w:numPr>
          <w:ilvl w:val="0"/>
          <w:numId w:val="5"/>
        </w:numPr>
        <w:tabs>
          <w:tab w:pos="491" w:val="left" w:leader="none"/>
        </w:tabs>
        <w:spacing w:line="240" w:lineRule="auto" w:before="0" w:after="0"/>
        <w:ind w:left="490" w:right="0" w:hanging="356"/>
        <w:jc w:val="left"/>
        <w:rPr>
          <w:sz w:val="24"/>
        </w:rPr>
      </w:pPr>
      <w:r>
        <w:rPr>
          <w:sz w:val="24"/>
        </w:rPr>
        <w:t>zajistit</w:t>
      </w:r>
      <w:r>
        <w:rPr>
          <w:spacing w:val="-15"/>
          <w:sz w:val="24"/>
        </w:rPr>
        <w:t> </w:t>
      </w:r>
      <w:r>
        <w:rPr>
          <w:sz w:val="24"/>
        </w:rPr>
        <w:t>pro</w:t>
      </w:r>
      <w:r>
        <w:rPr>
          <w:spacing w:val="-21"/>
          <w:sz w:val="24"/>
        </w:rPr>
        <w:t> </w:t>
      </w:r>
      <w:r>
        <w:rPr>
          <w:sz w:val="24"/>
        </w:rPr>
        <w:t>prodejce</w:t>
      </w:r>
      <w:r>
        <w:rPr>
          <w:spacing w:val="-19"/>
          <w:sz w:val="24"/>
        </w:rPr>
        <w:t> </w:t>
      </w:r>
      <w:r>
        <w:rPr>
          <w:sz w:val="24"/>
        </w:rPr>
        <w:t>zboží</w:t>
      </w:r>
      <w:r>
        <w:rPr>
          <w:spacing w:val="-13"/>
          <w:sz w:val="24"/>
        </w:rPr>
        <w:t> </w:t>
      </w:r>
      <w:r>
        <w:rPr>
          <w:sz w:val="24"/>
        </w:rPr>
        <w:t>a</w:t>
      </w:r>
      <w:r>
        <w:rPr>
          <w:spacing w:val="-19"/>
          <w:sz w:val="24"/>
        </w:rPr>
        <w:t> </w:t>
      </w:r>
      <w:r>
        <w:rPr>
          <w:sz w:val="24"/>
        </w:rPr>
        <w:t>poskytovatele</w:t>
      </w:r>
      <w:r>
        <w:rPr>
          <w:spacing w:val="-18"/>
          <w:sz w:val="24"/>
        </w:rPr>
        <w:t> </w:t>
      </w:r>
      <w:r>
        <w:rPr>
          <w:sz w:val="24"/>
        </w:rPr>
        <w:t>služeb</w:t>
      </w:r>
      <w:r>
        <w:rPr>
          <w:spacing w:val="-16"/>
          <w:sz w:val="24"/>
        </w:rPr>
        <w:t> </w:t>
      </w:r>
      <w:r>
        <w:rPr>
          <w:sz w:val="24"/>
        </w:rPr>
        <w:t>možnost</w:t>
      </w:r>
      <w:r>
        <w:rPr>
          <w:spacing w:val="-16"/>
          <w:sz w:val="24"/>
        </w:rPr>
        <w:t> </w:t>
      </w:r>
      <w:r>
        <w:rPr>
          <w:sz w:val="24"/>
        </w:rPr>
        <w:t>používání</w:t>
      </w:r>
      <w:r>
        <w:rPr>
          <w:spacing w:val="-18"/>
          <w:sz w:val="24"/>
        </w:rPr>
        <w:t> </w:t>
      </w:r>
      <w:r>
        <w:rPr>
          <w:sz w:val="24"/>
        </w:rPr>
        <w:t>hygienického</w:t>
      </w:r>
      <w:r>
        <w:rPr>
          <w:spacing w:val="-14"/>
          <w:sz w:val="24"/>
        </w:rPr>
        <w:t> </w:t>
      </w:r>
      <w:r>
        <w:rPr>
          <w:sz w:val="24"/>
        </w:rPr>
        <w:t>zařízení.</w:t>
      </w:r>
    </w:p>
    <w:p>
      <w:pPr>
        <w:pStyle w:val="BodyText"/>
        <w:rPr>
          <w:sz w:val="26"/>
        </w:rPr>
      </w:pPr>
    </w:p>
    <w:p>
      <w:pPr>
        <w:pStyle w:val="BodyText"/>
        <w:spacing w:before="2"/>
        <w:rPr>
          <w:sz w:val="22"/>
        </w:rPr>
      </w:pPr>
    </w:p>
    <w:p>
      <w:pPr>
        <w:pStyle w:val="BodyText"/>
        <w:spacing w:before="1"/>
        <w:ind w:left="2379" w:right="2491"/>
        <w:jc w:val="center"/>
      </w:pPr>
      <w:r>
        <w:rPr/>
        <w:t>Čl. 5</w:t>
      </w:r>
    </w:p>
    <w:p>
      <w:pPr>
        <w:pStyle w:val="Heading1"/>
        <w:ind w:right="490"/>
      </w:pPr>
      <w:r>
        <w:rPr/>
        <w:t>Zakázané formy prodeje zboží a poskytování služeb</w:t>
      </w:r>
    </w:p>
    <w:p>
      <w:pPr>
        <w:pStyle w:val="BodyText"/>
        <w:rPr>
          <w:b/>
        </w:rPr>
      </w:pPr>
    </w:p>
    <w:p>
      <w:pPr>
        <w:pStyle w:val="ListParagraph"/>
        <w:numPr>
          <w:ilvl w:val="1"/>
          <w:numId w:val="5"/>
        </w:numPr>
        <w:tabs>
          <w:tab w:pos="1163" w:val="left" w:leader="none"/>
        </w:tabs>
        <w:spacing w:line="240" w:lineRule="auto" w:before="0" w:after="0"/>
        <w:ind w:left="1162" w:right="0" w:hanging="339"/>
        <w:jc w:val="left"/>
        <w:rPr>
          <w:sz w:val="24"/>
        </w:rPr>
      </w:pPr>
      <w:r>
        <w:rPr>
          <w:sz w:val="24"/>
        </w:rPr>
        <w:t>Na území obce se zakazuje mimo provozovnu podomní a pochůzkový</w:t>
      </w:r>
      <w:r>
        <w:rPr>
          <w:spacing w:val="-12"/>
          <w:sz w:val="24"/>
        </w:rPr>
        <w:t> </w:t>
      </w:r>
      <w:r>
        <w:rPr>
          <w:sz w:val="24"/>
        </w:rPr>
        <w:t>prodej.</w:t>
      </w:r>
    </w:p>
    <w:p>
      <w:pPr>
        <w:pStyle w:val="BodyText"/>
        <w:spacing w:before="4"/>
      </w:pPr>
    </w:p>
    <w:p>
      <w:pPr>
        <w:pStyle w:val="ListParagraph"/>
        <w:numPr>
          <w:ilvl w:val="1"/>
          <w:numId w:val="5"/>
        </w:numPr>
        <w:tabs>
          <w:tab w:pos="1158" w:val="left" w:leader="none"/>
        </w:tabs>
        <w:spacing w:line="240" w:lineRule="auto" w:before="1" w:after="0"/>
        <w:ind w:left="116" w:right="233" w:firstLine="707"/>
        <w:jc w:val="both"/>
        <w:rPr>
          <w:sz w:val="24"/>
        </w:rPr>
      </w:pPr>
      <w:r>
        <w:rPr>
          <w:sz w:val="24"/>
        </w:rPr>
        <w:t>Podomním prodejem se rozumí prodej zboží nebo poskytování služeb,</w:t>
      </w:r>
      <w:r>
        <w:rPr>
          <w:spacing w:val="-40"/>
          <w:sz w:val="24"/>
        </w:rPr>
        <w:t> </w:t>
      </w:r>
      <w:r>
        <w:rPr>
          <w:sz w:val="24"/>
        </w:rPr>
        <w:t>provozované formou pochůzky, kdy je bez předchozí objednávky v bydlišti fyzické osoby prodáváno zboží nebo poskytovány</w:t>
      </w:r>
      <w:r>
        <w:rPr>
          <w:spacing w:val="-1"/>
          <w:sz w:val="24"/>
        </w:rPr>
        <w:t> </w:t>
      </w:r>
      <w:r>
        <w:rPr>
          <w:sz w:val="24"/>
        </w:rPr>
        <w:t>služby.</w:t>
      </w:r>
    </w:p>
    <w:p>
      <w:pPr>
        <w:spacing w:after="0" w:line="240" w:lineRule="auto"/>
        <w:jc w:val="both"/>
        <w:rPr>
          <w:sz w:val="24"/>
        </w:rPr>
        <w:sectPr>
          <w:pgSz w:w="11920" w:h="16850"/>
          <w:pgMar w:header="0" w:footer="1049" w:top="1600" w:bottom="1240" w:left="1300" w:right="1180"/>
        </w:sectPr>
      </w:pPr>
    </w:p>
    <w:p>
      <w:pPr>
        <w:pStyle w:val="ListParagraph"/>
        <w:numPr>
          <w:ilvl w:val="1"/>
          <w:numId w:val="5"/>
        </w:numPr>
        <w:tabs>
          <w:tab w:pos="1235" w:val="left" w:leader="none"/>
        </w:tabs>
        <w:spacing w:line="240" w:lineRule="auto" w:before="75" w:after="0"/>
        <w:ind w:left="116" w:right="232" w:firstLine="707"/>
        <w:jc w:val="both"/>
        <w:rPr>
          <w:sz w:val="24"/>
        </w:rPr>
      </w:pPr>
      <w:r>
        <w:rPr>
          <w:sz w:val="24"/>
        </w:rPr>
        <w:t>Pochůzkovým prodejem je prodej zboží nebo poskytování služeb s použitím přenosného nebo neseného zařízení (konstrukce, tyče, závěsného pultu, ze zavazadel, tašek a podobných</w:t>
      </w:r>
      <w:r>
        <w:rPr>
          <w:spacing w:val="-16"/>
          <w:sz w:val="24"/>
        </w:rPr>
        <w:t> </w:t>
      </w:r>
      <w:r>
        <w:rPr>
          <w:sz w:val="24"/>
        </w:rPr>
        <w:t>zařízení)</w:t>
      </w:r>
      <w:r>
        <w:rPr>
          <w:spacing w:val="-12"/>
          <w:sz w:val="24"/>
        </w:rPr>
        <w:t> </w:t>
      </w:r>
      <w:r>
        <w:rPr>
          <w:sz w:val="24"/>
        </w:rPr>
        <w:t>nebo</w:t>
      </w:r>
      <w:r>
        <w:rPr>
          <w:spacing w:val="-13"/>
          <w:sz w:val="24"/>
        </w:rPr>
        <w:t> </w:t>
      </w:r>
      <w:r>
        <w:rPr>
          <w:sz w:val="24"/>
        </w:rPr>
        <w:t>přímo</w:t>
      </w:r>
      <w:r>
        <w:rPr>
          <w:spacing w:val="-15"/>
          <w:sz w:val="24"/>
        </w:rPr>
        <w:t> </w:t>
      </w:r>
      <w:r>
        <w:rPr>
          <w:sz w:val="24"/>
        </w:rPr>
        <w:t>z</w:t>
      </w:r>
      <w:r>
        <w:rPr>
          <w:spacing w:val="-17"/>
          <w:sz w:val="24"/>
        </w:rPr>
        <w:t> </w:t>
      </w:r>
      <w:r>
        <w:rPr>
          <w:sz w:val="24"/>
        </w:rPr>
        <w:t>ruky,</w:t>
      </w:r>
      <w:r>
        <w:rPr>
          <w:spacing w:val="-16"/>
          <w:sz w:val="24"/>
        </w:rPr>
        <w:t> </w:t>
      </w:r>
      <w:r>
        <w:rPr>
          <w:sz w:val="24"/>
        </w:rPr>
        <w:t>bez</w:t>
      </w:r>
      <w:r>
        <w:rPr>
          <w:spacing w:val="-17"/>
          <w:sz w:val="24"/>
        </w:rPr>
        <w:t> </w:t>
      </w:r>
      <w:r>
        <w:rPr>
          <w:sz w:val="24"/>
        </w:rPr>
        <w:t>ohledu</w:t>
      </w:r>
      <w:r>
        <w:rPr>
          <w:spacing w:val="-14"/>
          <w:sz w:val="24"/>
        </w:rPr>
        <w:t> </w:t>
      </w:r>
      <w:r>
        <w:rPr>
          <w:sz w:val="24"/>
        </w:rPr>
        <w:t>na</w:t>
      </w:r>
      <w:r>
        <w:rPr>
          <w:spacing w:val="-17"/>
          <w:sz w:val="24"/>
        </w:rPr>
        <w:t> </w:t>
      </w:r>
      <w:r>
        <w:rPr>
          <w:sz w:val="24"/>
        </w:rPr>
        <w:t>to,</w:t>
      </w:r>
      <w:r>
        <w:rPr>
          <w:spacing w:val="-14"/>
          <w:sz w:val="24"/>
        </w:rPr>
        <w:t> </w:t>
      </w:r>
      <w:r>
        <w:rPr>
          <w:sz w:val="24"/>
        </w:rPr>
        <w:t>zda</w:t>
      </w:r>
      <w:r>
        <w:rPr>
          <w:spacing w:val="-16"/>
          <w:sz w:val="24"/>
        </w:rPr>
        <w:t> </w:t>
      </w:r>
      <w:r>
        <w:rPr>
          <w:sz w:val="24"/>
        </w:rPr>
        <w:t>se</w:t>
      </w:r>
      <w:r>
        <w:rPr>
          <w:spacing w:val="-17"/>
          <w:sz w:val="24"/>
        </w:rPr>
        <w:t> </w:t>
      </w:r>
      <w:r>
        <w:rPr>
          <w:sz w:val="24"/>
        </w:rPr>
        <w:t>prodejce</w:t>
      </w:r>
      <w:r>
        <w:rPr>
          <w:spacing w:val="-13"/>
          <w:sz w:val="24"/>
        </w:rPr>
        <w:t> </w:t>
      </w:r>
      <w:r>
        <w:rPr>
          <w:sz w:val="24"/>
        </w:rPr>
        <w:t>či</w:t>
      </w:r>
      <w:r>
        <w:rPr>
          <w:spacing w:val="-11"/>
          <w:sz w:val="24"/>
        </w:rPr>
        <w:t> </w:t>
      </w:r>
      <w:r>
        <w:rPr>
          <w:sz w:val="24"/>
        </w:rPr>
        <w:t>poskytovatel</w:t>
      </w:r>
      <w:r>
        <w:rPr>
          <w:spacing w:val="-14"/>
          <w:sz w:val="24"/>
        </w:rPr>
        <w:t> </w:t>
      </w:r>
      <w:r>
        <w:rPr>
          <w:sz w:val="24"/>
        </w:rPr>
        <w:t>služeb pohybuje nebo se zdržuje na</w:t>
      </w:r>
      <w:r>
        <w:rPr>
          <w:spacing w:val="-4"/>
          <w:sz w:val="24"/>
        </w:rPr>
        <w:t> </w:t>
      </w:r>
      <w:r>
        <w:rPr>
          <w:sz w:val="24"/>
        </w:rPr>
        <w:t>místě.</w:t>
      </w:r>
    </w:p>
    <w:p>
      <w:pPr>
        <w:pStyle w:val="BodyText"/>
        <w:spacing w:before="5"/>
      </w:pPr>
    </w:p>
    <w:p>
      <w:pPr>
        <w:pStyle w:val="ListParagraph"/>
        <w:numPr>
          <w:ilvl w:val="1"/>
          <w:numId w:val="5"/>
        </w:numPr>
        <w:tabs>
          <w:tab w:pos="1343" w:val="left" w:leader="none"/>
        </w:tabs>
        <w:spacing w:line="240" w:lineRule="auto" w:before="0" w:after="0"/>
        <w:ind w:left="116" w:right="232" w:firstLine="707"/>
        <w:jc w:val="both"/>
        <w:rPr>
          <w:sz w:val="24"/>
        </w:rPr>
      </w:pPr>
      <w:r>
        <w:rPr>
          <w:sz w:val="24"/>
        </w:rPr>
        <w:t>Při výkonu licencované činnosti držitelem licence nebo při</w:t>
      </w:r>
      <w:r>
        <w:rPr>
          <w:spacing w:val="39"/>
          <w:sz w:val="24"/>
        </w:rPr>
        <w:t> </w:t>
      </w:r>
      <w:r>
        <w:rPr>
          <w:sz w:val="24"/>
        </w:rPr>
        <w:t>výkonu zprostředkovatelské činnosti v energetických odvětvích dle energetického zákona je na území města</w:t>
      </w:r>
      <w:r>
        <w:rPr>
          <w:spacing w:val="-11"/>
          <w:sz w:val="24"/>
        </w:rPr>
        <w:t> </w:t>
      </w:r>
      <w:r>
        <w:rPr>
          <w:sz w:val="24"/>
        </w:rPr>
        <w:t>zakázán</w:t>
      </w:r>
      <w:r>
        <w:rPr>
          <w:spacing w:val="-8"/>
          <w:sz w:val="24"/>
        </w:rPr>
        <w:t> </w:t>
      </w:r>
      <w:r>
        <w:rPr>
          <w:sz w:val="24"/>
        </w:rPr>
        <w:t>podomní</w:t>
      </w:r>
      <w:r>
        <w:rPr>
          <w:spacing w:val="-7"/>
          <w:sz w:val="24"/>
        </w:rPr>
        <w:t> </w:t>
      </w:r>
      <w:r>
        <w:rPr>
          <w:sz w:val="24"/>
        </w:rPr>
        <w:t>prodej</w:t>
      </w:r>
      <w:r>
        <w:rPr>
          <w:spacing w:val="-9"/>
          <w:sz w:val="24"/>
        </w:rPr>
        <w:t> </w:t>
      </w:r>
      <w:r>
        <w:rPr>
          <w:sz w:val="24"/>
        </w:rPr>
        <w:t>zboží</w:t>
      </w:r>
      <w:r>
        <w:rPr>
          <w:spacing w:val="-8"/>
          <w:sz w:val="24"/>
        </w:rPr>
        <w:t> </w:t>
      </w:r>
      <w:r>
        <w:rPr>
          <w:sz w:val="24"/>
        </w:rPr>
        <w:t>nebo</w:t>
      </w:r>
      <w:r>
        <w:rPr>
          <w:spacing w:val="-8"/>
          <w:sz w:val="24"/>
        </w:rPr>
        <w:t> </w:t>
      </w:r>
      <w:r>
        <w:rPr>
          <w:sz w:val="24"/>
        </w:rPr>
        <w:t>poskytování</w:t>
      </w:r>
      <w:r>
        <w:rPr>
          <w:spacing w:val="-8"/>
          <w:sz w:val="24"/>
        </w:rPr>
        <w:t> </w:t>
      </w:r>
      <w:r>
        <w:rPr>
          <w:sz w:val="24"/>
        </w:rPr>
        <w:t>služeb</w:t>
      </w:r>
      <w:r>
        <w:rPr>
          <w:spacing w:val="-8"/>
          <w:sz w:val="24"/>
        </w:rPr>
        <w:t> </w:t>
      </w:r>
      <w:r>
        <w:rPr>
          <w:sz w:val="24"/>
        </w:rPr>
        <w:t>a</w:t>
      </w:r>
      <w:r>
        <w:rPr>
          <w:spacing w:val="-10"/>
          <w:sz w:val="24"/>
        </w:rPr>
        <w:t> </w:t>
      </w:r>
      <w:r>
        <w:rPr>
          <w:sz w:val="24"/>
        </w:rPr>
        <w:t>pochůzkový</w:t>
      </w:r>
      <w:r>
        <w:rPr>
          <w:spacing w:val="-8"/>
          <w:sz w:val="24"/>
        </w:rPr>
        <w:t> </w:t>
      </w:r>
      <w:r>
        <w:rPr>
          <w:sz w:val="24"/>
        </w:rPr>
        <w:t>prodej</w:t>
      </w:r>
      <w:r>
        <w:rPr>
          <w:spacing w:val="-9"/>
          <w:sz w:val="24"/>
        </w:rPr>
        <w:t> </w:t>
      </w:r>
      <w:r>
        <w:rPr>
          <w:sz w:val="24"/>
        </w:rPr>
        <w:t>zboží</w:t>
      </w:r>
      <w:r>
        <w:rPr>
          <w:spacing w:val="-8"/>
          <w:sz w:val="24"/>
        </w:rPr>
        <w:t> </w:t>
      </w:r>
      <w:r>
        <w:rPr>
          <w:sz w:val="24"/>
        </w:rPr>
        <w:t>nebo poskytování</w:t>
      </w:r>
      <w:r>
        <w:rPr>
          <w:spacing w:val="-1"/>
          <w:sz w:val="24"/>
        </w:rPr>
        <w:t> </w:t>
      </w:r>
      <w:r>
        <w:rPr>
          <w:sz w:val="24"/>
        </w:rPr>
        <w:t>služeb.</w:t>
      </w:r>
    </w:p>
    <w:p>
      <w:pPr>
        <w:pStyle w:val="BodyText"/>
        <w:spacing w:before="5"/>
      </w:pPr>
    </w:p>
    <w:p>
      <w:pPr>
        <w:pStyle w:val="BodyText"/>
        <w:ind w:left="2379" w:right="1787"/>
        <w:jc w:val="center"/>
      </w:pPr>
      <w:r>
        <w:rPr/>
        <w:t>Čl. 6</w:t>
      </w:r>
    </w:p>
    <w:p>
      <w:pPr>
        <w:pStyle w:val="Heading1"/>
        <w:ind w:left="2379" w:right="1794"/>
      </w:pPr>
      <w:r>
        <w:rPr/>
        <w:t>Kontrola a sankce</w:t>
      </w:r>
    </w:p>
    <w:p>
      <w:pPr>
        <w:pStyle w:val="ListParagraph"/>
        <w:numPr>
          <w:ilvl w:val="0"/>
          <w:numId w:val="6"/>
        </w:numPr>
        <w:tabs>
          <w:tab w:pos="1250" w:val="left" w:leader="none"/>
        </w:tabs>
        <w:spacing w:line="235" w:lineRule="auto" w:before="5" w:after="0"/>
        <w:ind w:left="116" w:right="237" w:firstLine="707"/>
        <w:jc w:val="both"/>
        <w:rPr>
          <w:sz w:val="16"/>
        </w:rPr>
      </w:pPr>
      <w:r>
        <w:rPr>
          <w:sz w:val="24"/>
        </w:rPr>
        <w:t>Kontrolu nad dodržováním tohoto nařízení provádí Městský úřad Chropyně prostřednictvím pověřených zaměstnanců města zařazených do městského úřadu a strážníci městské policie. Tím není dotčeno provádění kontroly orgány státního dozoru podle jiných právních</w:t>
      </w:r>
      <w:r>
        <w:rPr>
          <w:spacing w:val="-2"/>
          <w:sz w:val="24"/>
        </w:rPr>
        <w:t> </w:t>
      </w:r>
      <w:r>
        <w:rPr>
          <w:sz w:val="24"/>
        </w:rPr>
        <w:t>předpisů.</w:t>
      </w:r>
      <w:hyperlink w:history="true" w:anchor="_bookmark1">
        <w:r>
          <w:rPr>
            <w:position w:val="9"/>
            <w:sz w:val="16"/>
          </w:rPr>
          <w:t>2</w:t>
        </w:r>
      </w:hyperlink>
    </w:p>
    <w:p>
      <w:pPr>
        <w:pStyle w:val="ListParagraph"/>
        <w:numPr>
          <w:ilvl w:val="0"/>
          <w:numId w:val="6"/>
        </w:numPr>
        <w:tabs>
          <w:tab w:pos="1163" w:val="left" w:leader="none"/>
        </w:tabs>
        <w:spacing w:line="240" w:lineRule="auto" w:before="107" w:after="0"/>
        <w:ind w:left="1162" w:right="0" w:hanging="339"/>
        <w:jc w:val="both"/>
        <w:rPr>
          <w:sz w:val="16"/>
        </w:rPr>
      </w:pPr>
      <w:r>
        <w:rPr>
          <w:sz w:val="24"/>
        </w:rPr>
        <w:t>Porušení tohoto nařízení se postihuje podle zvláštních právních</w:t>
      </w:r>
      <w:r>
        <w:rPr>
          <w:spacing w:val="-6"/>
          <w:sz w:val="24"/>
        </w:rPr>
        <w:t> </w:t>
      </w:r>
      <w:r>
        <w:rPr>
          <w:sz w:val="24"/>
        </w:rPr>
        <w:t>pře</w:t>
      </w:r>
      <w:hyperlink w:history="true" w:anchor="_bookmark2">
        <w:r>
          <w:rPr>
            <w:sz w:val="24"/>
          </w:rPr>
          <w:t>dpisů.</w:t>
        </w:r>
        <w:r>
          <w:rPr>
            <w:position w:val="9"/>
            <w:sz w:val="16"/>
          </w:rPr>
          <w:t>3</w:t>
        </w:r>
      </w:hyperlink>
    </w:p>
    <w:p>
      <w:pPr>
        <w:pStyle w:val="BodyText"/>
        <w:spacing w:before="5"/>
        <w:rPr>
          <w:sz w:val="34"/>
        </w:rPr>
      </w:pPr>
    </w:p>
    <w:p>
      <w:pPr>
        <w:pStyle w:val="BodyText"/>
        <w:ind w:left="2379" w:right="2491"/>
        <w:jc w:val="center"/>
      </w:pPr>
      <w:r>
        <w:rPr/>
        <w:t>Čl. 7</w:t>
      </w:r>
    </w:p>
    <w:p>
      <w:pPr>
        <w:pStyle w:val="Heading1"/>
        <w:ind w:left="2379" w:right="2499"/>
      </w:pPr>
      <w:r>
        <w:rPr/>
        <w:t>Závěrečná ustanovení</w:t>
      </w:r>
    </w:p>
    <w:p>
      <w:pPr>
        <w:pStyle w:val="BodyText"/>
        <w:rPr>
          <w:b/>
        </w:rPr>
      </w:pPr>
    </w:p>
    <w:p>
      <w:pPr>
        <w:pStyle w:val="ListParagraph"/>
        <w:numPr>
          <w:ilvl w:val="0"/>
          <w:numId w:val="7"/>
        </w:numPr>
        <w:tabs>
          <w:tab w:pos="1166" w:val="left" w:leader="none"/>
        </w:tabs>
        <w:spacing w:line="240" w:lineRule="auto" w:before="0" w:after="0"/>
        <w:ind w:left="116" w:right="239" w:firstLine="707"/>
        <w:jc w:val="both"/>
        <w:rPr>
          <w:sz w:val="24"/>
        </w:rPr>
      </w:pPr>
      <w:r>
        <w:rPr>
          <w:sz w:val="24"/>
        </w:rPr>
        <w:t>Práva a povinnosti prodejců zboží, poskytovatelů služeb a provozovatelů stanovená zvláštními právními předpisy nejsou tímto nařízením</w:t>
      </w:r>
      <w:r>
        <w:rPr>
          <w:spacing w:val="-4"/>
          <w:sz w:val="24"/>
        </w:rPr>
        <w:t> </w:t>
      </w:r>
      <w:r>
        <w:rPr>
          <w:sz w:val="24"/>
        </w:rPr>
        <w:t>dotčena.</w:t>
      </w:r>
    </w:p>
    <w:p>
      <w:pPr>
        <w:pStyle w:val="ListParagraph"/>
        <w:numPr>
          <w:ilvl w:val="0"/>
          <w:numId w:val="7"/>
        </w:numPr>
        <w:tabs>
          <w:tab w:pos="1163" w:val="left" w:leader="none"/>
        </w:tabs>
        <w:spacing w:line="240" w:lineRule="auto" w:before="120" w:after="0"/>
        <w:ind w:left="1162" w:right="0" w:hanging="339"/>
        <w:jc w:val="both"/>
        <w:rPr>
          <w:sz w:val="24"/>
        </w:rPr>
      </w:pPr>
      <w:r>
        <w:rPr>
          <w:sz w:val="24"/>
        </w:rPr>
        <w:t>Toto nařízení nabývá účinnosti dnem 1. května</w:t>
      </w:r>
      <w:r>
        <w:rPr>
          <w:spacing w:val="-4"/>
          <w:sz w:val="24"/>
        </w:rPr>
        <w:t> </w:t>
      </w:r>
      <w:r>
        <w:rPr>
          <w:sz w:val="24"/>
        </w:rPr>
        <w:t>2025.</w:t>
      </w:r>
    </w:p>
    <w:p>
      <w:pPr>
        <w:pStyle w:val="BodyText"/>
        <w:rPr>
          <w:sz w:val="26"/>
        </w:rPr>
      </w:pPr>
    </w:p>
    <w:p>
      <w:pPr>
        <w:pStyle w:val="BodyText"/>
        <w:rPr>
          <w:sz w:val="26"/>
        </w:rPr>
      </w:pPr>
    </w:p>
    <w:p>
      <w:pPr>
        <w:pStyle w:val="BodyText"/>
        <w:rPr>
          <w:sz w:val="26"/>
        </w:rPr>
      </w:pPr>
    </w:p>
    <w:p>
      <w:pPr>
        <w:pStyle w:val="BodyText"/>
        <w:rPr>
          <w:sz w:val="26"/>
        </w:rPr>
      </w:pPr>
    </w:p>
    <w:p>
      <w:pPr>
        <w:pStyle w:val="BodyText"/>
        <w:tabs>
          <w:tab w:pos="6852" w:val="left" w:leader="none"/>
          <w:tab w:pos="7529" w:val="left" w:leader="none"/>
        </w:tabs>
        <w:spacing w:before="183"/>
        <w:ind w:left="656" w:right="573" w:hanging="399"/>
      </w:pPr>
      <w:r>
        <w:rPr/>
        <w:t>Mgr. Milan</w:t>
      </w:r>
      <w:r>
        <w:rPr>
          <w:spacing w:val="-4"/>
        </w:rPr>
        <w:t> </w:t>
      </w:r>
      <w:r>
        <w:rPr/>
        <w:t>Bajgar</w:t>
      </w:r>
      <w:r>
        <w:rPr>
          <w:spacing w:val="-3"/>
        </w:rPr>
        <w:t> </w:t>
      </w:r>
      <w:r>
        <w:rPr/>
        <w:t>MBA</w:t>
        <w:tab/>
        <w:t>Mgr. Michal Vlasatý místostarosta</w:t>
        <w:tab/>
        <w:tab/>
        <w:t>starosta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2"/>
        </w:rPr>
      </w:pPr>
      <w:r>
        <w:rPr/>
        <w:pict>
          <v:shape style="position:absolute;margin-left:70.800003pt;margin-top:9.484317pt;width:144.050pt;height:.1pt;mso-position-horizontal-relative:page;mso-position-vertical-relative:paragraph;z-index:-251657216;mso-wrap-distance-left:0;mso-wrap-distance-right:0" coordorigin="1416,190" coordsize="2881,0" path="m1416,190l4297,190e" filled="false" stroked="true" strokeweight=".6pt" strokecolor="#000000">
            <v:path arrowok="t"/>
            <v:stroke dashstyle="solid"/>
            <w10:wrap type="topAndBottom"/>
          </v:shape>
        </w:pict>
      </w:r>
    </w:p>
    <w:p>
      <w:pPr>
        <w:pStyle w:val="BodyText"/>
        <w:spacing w:line="242" w:lineRule="auto" w:before="39"/>
        <w:ind w:left="116" w:right="508"/>
      </w:pPr>
      <w:bookmarkStart w:name="_bookmark1" w:id="2"/>
      <w:bookmarkEnd w:id="2"/>
      <w:r>
        <w:rPr/>
      </w:r>
      <w:r>
        <w:rPr>
          <w:position w:val="7"/>
          <w:sz w:val="13"/>
        </w:rPr>
        <w:t>2 </w:t>
      </w:r>
      <w:r>
        <w:rPr/>
        <w:t>zákon č. 455/1991 Sb., o živnostenském podnikání (živnostenský zákon), zákon č 64/1986 Sb., o České obchodní inspekci, zákon č. 634/1992 Sb., o ochraně spotřebitele, zákon č.</w:t>
      </w:r>
    </w:p>
    <w:p>
      <w:pPr>
        <w:pStyle w:val="BodyText"/>
        <w:spacing w:line="273" w:lineRule="exact"/>
        <w:ind w:left="116"/>
      </w:pPr>
      <w:r>
        <w:rPr/>
        <w:t>166/1999 Sb., o veterinární péči a o změně některých zákonů (veterinární zákon)</w:t>
      </w:r>
    </w:p>
    <w:p>
      <w:pPr>
        <w:pStyle w:val="BodyText"/>
        <w:ind w:left="116"/>
      </w:pPr>
      <w:bookmarkStart w:name="_bookmark2" w:id="3"/>
      <w:bookmarkEnd w:id="3"/>
      <w:r>
        <w:rPr/>
      </w:r>
      <w:r>
        <w:rPr>
          <w:position w:val="7"/>
          <w:sz w:val="13"/>
        </w:rPr>
        <w:t>3 </w:t>
      </w:r>
      <w:r>
        <w:rPr/>
        <w:t>zákon č. 251/2016 Sb., o některých přestupcích, ve znění pozdějších předpisů</w:t>
      </w:r>
    </w:p>
    <w:p>
      <w:pPr>
        <w:spacing w:after="0"/>
        <w:sectPr>
          <w:pgSz w:w="11920" w:h="16850"/>
          <w:pgMar w:header="0" w:footer="1049" w:top="1320" w:bottom="1240" w:left="1300" w:right="1180"/>
        </w:sectPr>
      </w:pPr>
    </w:p>
    <w:p>
      <w:pPr>
        <w:pStyle w:val="BodyText"/>
        <w:spacing w:before="71"/>
        <w:ind w:right="229"/>
        <w:jc w:val="right"/>
      </w:pPr>
      <w:r>
        <w:rPr/>
        <w:t>Příloha č. 1</w:t>
      </w:r>
    </w:p>
    <w:p>
      <w:pPr>
        <w:pStyle w:val="BodyText"/>
        <w:spacing w:before="2"/>
        <w:rPr>
          <w:sz w:val="16"/>
        </w:rPr>
      </w:pPr>
    </w:p>
    <w:p>
      <w:pPr>
        <w:pStyle w:val="Heading1"/>
        <w:spacing w:before="90"/>
        <w:ind w:left="116"/>
        <w:jc w:val="left"/>
      </w:pPr>
      <w:r>
        <w:rPr/>
        <w:t>Tržní místo pro umístění pojízdného prodeje:</w:t>
      </w:r>
    </w:p>
    <w:p>
      <w:pPr>
        <w:pStyle w:val="BodyText"/>
        <w:rPr>
          <w:b/>
        </w:rPr>
      </w:pPr>
    </w:p>
    <w:p>
      <w:pPr>
        <w:pStyle w:val="ListParagraph"/>
        <w:numPr>
          <w:ilvl w:val="0"/>
          <w:numId w:val="8"/>
        </w:numPr>
        <w:tabs>
          <w:tab w:pos="736" w:val="left" w:leader="none"/>
        </w:tabs>
        <w:spacing w:line="240" w:lineRule="auto" w:before="0" w:after="0"/>
        <w:ind w:left="735" w:right="0" w:hanging="260"/>
        <w:jc w:val="left"/>
        <w:rPr>
          <w:sz w:val="24"/>
        </w:rPr>
      </w:pPr>
      <w:r>
        <w:rPr>
          <w:sz w:val="24"/>
        </w:rPr>
        <w:t>veřejné prostranství náměstí Svobody, Chropyně, parc. č.</w:t>
      </w:r>
      <w:r>
        <w:rPr>
          <w:spacing w:val="-2"/>
          <w:sz w:val="24"/>
        </w:rPr>
        <w:t> </w:t>
      </w:r>
      <w:r>
        <w:rPr>
          <w:sz w:val="24"/>
        </w:rPr>
        <w:t>373/1</w:t>
      </w:r>
    </w:p>
    <w:p>
      <w:pPr>
        <w:pStyle w:val="BodyText"/>
        <w:tabs>
          <w:tab w:pos="1856" w:val="left" w:leader="none"/>
        </w:tabs>
        <w:ind w:left="1496"/>
      </w:pPr>
      <w:r>
        <w:rPr>
          <w:b/>
        </w:rPr>
        <w:t>-</w:t>
        <w:tab/>
      </w:r>
      <w:r>
        <w:rPr/>
        <w:t>kapacita tržního místa: 2 prodejní místa o rozměru</w:t>
      </w:r>
      <w:r>
        <w:rPr>
          <w:spacing w:val="-7"/>
        </w:rPr>
        <w:t> </w:t>
      </w:r>
      <w:r>
        <w:rPr/>
        <w:t>2x3m</w:t>
      </w:r>
    </w:p>
    <w:p>
      <w:pPr>
        <w:pStyle w:val="BodyText"/>
        <w:rPr>
          <w:sz w:val="20"/>
        </w:rPr>
      </w:pPr>
    </w:p>
    <w:p>
      <w:pPr>
        <w:pStyle w:val="BodyText"/>
        <w:rPr>
          <w:sz w:val="20"/>
        </w:rPr>
      </w:pPr>
    </w:p>
    <w:p>
      <w:pPr>
        <w:pStyle w:val="BodyText"/>
        <w:spacing w:before="9"/>
        <w:rPr>
          <w:sz w:val="28"/>
        </w:rPr>
      </w:pPr>
      <w:r>
        <w:rPr/>
        <w:drawing>
          <wp:anchor distT="0" distB="0" distL="0" distR="0" allowOverlap="1" layoutInCell="1" locked="0" behindDoc="0" simplePos="0" relativeHeight="2">
            <wp:simplePos x="0" y="0"/>
            <wp:positionH relativeFrom="page">
              <wp:posOffset>899160</wp:posOffset>
            </wp:positionH>
            <wp:positionV relativeFrom="paragraph">
              <wp:posOffset>235186</wp:posOffset>
            </wp:positionV>
            <wp:extent cx="5601288" cy="5269896"/>
            <wp:effectExtent l="0" t="0" r="0" b="0"/>
            <wp:wrapTopAndBottom/>
            <wp:docPr id="1" name="image1.jpeg" descr="______ \ U s e r s \ p o s p i s i l - d \ D e s k t o p \ C h r o p y n   . p n 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5601288" cy="5269896"/>
                    </a:xfrm>
                    <a:prstGeom prst="rect">
                      <a:avLst/>
                    </a:prstGeom>
                  </pic:spPr>
                </pic:pic>
              </a:graphicData>
            </a:graphic>
          </wp:anchor>
        </w:drawing>
      </w:r>
    </w:p>
    <w:p>
      <w:pPr>
        <w:spacing w:after="0"/>
        <w:rPr>
          <w:sz w:val="28"/>
        </w:rPr>
        <w:sectPr>
          <w:pgSz w:w="11920" w:h="16850"/>
          <w:pgMar w:header="0" w:footer="1049" w:top="1600" w:bottom="1240" w:left="1300" w:right="1180"/>
        </w:sectPr>
      </w:pPr>
    </w:p>
    <w:p>
      <w:pPr>
        <w:pStyle w:val="ListParagraph"/>
        <w:numPr>
          <w:ilvl w:val="0"/>
          <w:numId w:val="8"/>
        </w:numPr>
        <w:tabs>
          <w:tab w:pos="736" w:val="left" w:leader="none"/>
        </w:tabs>
        <w:spacing w:line="240" w:lineRule="auto" w:before="71" w:after="0"/>
        <w:ind w:left="735" w:right="0" w:hanging="260"/>
        <w:jc w:val="left"/>
        <w:rPr>
          <w:sz w:val="24"/>
        </w:rPr>
      </w:pPr>
      <w:r>
        <w:rPr>
          <w:sz w:val="24"/>
        </w:rPr>
        <w:t>veřejné prostranství Plešovec, parc. č.</w:t>
      </w:r>
      <w:r>
        <w:rPr>
          <w:spacing w:val="-2"/>
          <w:sz w:val="24"/>
        </w:rPr>
        <w:t> </w:t>
      </w:r>
      <w:r>
        <w:rPr>
          <w:sz w:val="24"/>
        </w:rPr>
        <w:t>246</w:t>
      </w:r>
    </w:p>
    <w:p>
      <w:pPr>
        <w:pStyle w:val="BodyText"/>
        <w:tabs>
          <w:tab w:pos="1877" w:val="left" w:leader="none"/>
        </w:tabs>
        <w:ind w:left="1496"/>
      </w:pPr>
      <w:r>
        <w:rPr/>
        <w:t>-</w:t>
        <w:tab/>
        <w:t>kapacita tržního místa: 1 prodejní místo o rozměru</w:t>
      </w:r>
      <w:r>
        <w:rPr>
          <w:spacing w:val="-7"/>
        </w:rPr>
        <w:t> </w:t>
      </w:r>
      <w:r>
        <w:rPr/>
        <w:t>2x3m</w:t>
      </w:r>
    </w:p>
    <w:p>
      <w:pPr>
        <w:pStyle w:val="BodyText"/>
        <w:rPr>
          <w:sz w:val="20"/>
        </w:rPr>
      </w:pPr>
    </w:p>
    <w:p>
      <w:pPr>
        <w:pStyle w:val="BodyText"/>
        <w:rPr>
          <w:sz w:val="20"/>
        </w:rPr>
      </w:pPr>
    </w:p>
    <w:p>
      <w:pPr>
        <w:pStyle w:val="BodyText"/>
        <w:spacing w:before="9"/>
        <w:rPr>
          <w:sz w:val="28"/>
        </w:rPr>
      </w:pPr>
      <w:r>
        <w:rPr/>
        <w:drawing>
          <wp:anchor distT="0" distB="0" distL="0" distR="0" allowOverlap="1" layoutInCell="1" locked="0" behindDoc="0" simplePos="0" relativeHeight="3">
            <wp:simplePos x="0" y="0"/>
            <wp:positionH relativeFrom="page">
              <wp:posOffset>899160</wp:posOffset>
            </wp:positionH>
            <wp:positionV relativeFrom="paragraph">
              <wp:posOffset>235131</wp:posOffset>
            </wp:positionV>
            <wp:extent cx="5588868" cy="6215062"/>
            <wp:effectExtent l="0" t="0" r="0" b="0"/>
            <wp:wrapTopAndBottom/>
            <wp:docPr id="3" name="image2.jpeg" descr="______ \ U s e r s \ p o s p i s i l - d \ D e s k t o p \ P l e a o v e c . p n g"/>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5588868" cy="6215062"/>
                    </a:xfrm>
                    <a:prstGeom prst="rect">
                      <a:avLst/>
                    </a:prstGeom>
                  </pic:spPr>
                </pic:pic>
              </a:graphicData>
            </a:graphic>
          </wp:anchor>
        </w:drawing>
      </w:r>
    </w:p>
    <w:p>
      <w:pPr>
        <w:spacing w:after="0"/>
        <w:rPr>
          <w:sz w:val="28"/>
        </w:rPr>
        <w:sectPr>
          <w:pgSz w:w="11920" w:h="16850"/>
          <w:pgMar w:header="0" w:footer="1049" w:top="1600" w:bottom="1240" w:left="1300" w:right="1180"/>
        </w:sectPr>
      </w:pPr>
    </w:p>
    <w:p>
      <w:pPr>
        <w:pStyle w:val="BodyText"/>
        <w:spacing w:before="71"/>
        <w:ind w:right="282"/>
        <w:jc w:val="right"/>
      </w:pPr>
      <w:r>
        <w:rPr/>
        <w:t>Příloha č. 2</w:t>
      </w:r>
    </w:p>
    <w:p>
      <w:pPr>
        <w:pStyle w:val="BodyText"/>
        <w:rPr>
          <w:sz w:val="26"/>
        </w:rPr>
      </w:pPr>
    </w:p>
    <w:p>
      <w:pPr>
        <w:pStyle w:val="BodyText"/>
        <w:rPr>
          <w:sz w:val="22"/>
        </w:rPr>
      </w:pPr>
    </w:p>
    <w:p>
      <w:pPr>
        <w:pStyle w:val="ListParagraph"/>
        <w:numPr>
          <w:ilvl w:val="0"/>
          <w:numId w:val="9"/>
        </w:numPr>
        <w:tabs>
          <w:tab w:pos="439" w:val="left" w:leader="none"/>
        </w:tabs>
        <w:spacing w:line="240" w:lineRule="auto" w:before="0" w:after="0"/>
        <w:ind w:left="1256" w:right="532" w:hanging="1140"/>
        <w:jc w:val="left"/>
        <w:rPr>
          <w:sz w:val="24"/>
        </w:rPr>
      </w:pPr>
      <w:r>
        <w:rPr>
          <w:b/>
          <w:sz w:val="24"/>
        </w:rPr>
        <w:t>Tržní místa v prostorách u zámku, náměstí Svobody, ul. Komenského - </w:t>
      </w:r>
      <w:r>
        <w:rPr>
          <w:sz w:val="24"/>
        </w:rPr>
        <w:t>parc. č. 6/1, 6/2, 325/1, 326/2</w:t>
      </w:r>
    </w:p>
    <w:p>
      <w:pPr>
        <w:pStyle w:val="BodyText"/>
      </w:pPr>
    </w:p>
    <w:p>
      <w:pPr>
        <w:pStyle w:val="ListParagraph"/>
        <w:numPr>
          <w:ilvl w:val="0"/>
          <w:numId w:val="9"/>
        </w:numPr>
        <w:tabs>
          <w:tab w:pos="436" w:val="left" w:leader="none"/>
        </w:tabs>
        <w:spacing w:line="240" w:lineRule="auto" w:before="0" w:after="0"/>
        <w:ind w:left="435" w:right="0" w:hanging="320"/>
        <w:jc w:val="left"/>
        <w:rPr>
          <w:sz w:val="24"/>
        </w:rPr>
      </w:pPr>
      <w:r>
        <w:rPr>
          <w:b/>
          <w:sz w:val="24"/>
        </w:rPr>
        <w:t>Tržní místa na Hanáckém náměstí - </w:t>
      </w:r>
      <w:r>
        <w:rPr>
          <w:sz w:val="24"/>
        </w:rPr>
        <w:t>parc. č. 2433/1</w:t>
      </w:r>
    </w:p>
    <w:p>
      <w:pPr>
        <w:pStyle w:val="BodyText"/>
        <w:rPr>
          <w:sz w:val="26"/>
        </w:rPr>
      </w:pPr>
    </w:p>
    <w:p>
      <w:pPr>
        <w:pStyle w:val="BodyText"/>
        <w:rPr>
          <w:sz w:val="26"/>
        </w:rPr>
      </w:pPr>
    </w:p>
    <w:p>
      <w:pPr>
        <w:pStyle w:val="BodyText"/>
        <w:rPr>
          <w:sz w:val="26"/>
        </w:rPr>
      </w:pPr>
    </w:p>
    <w:p>
      <w:pPr>
        <w:pStyle w:val="Heading1"/>
        <w:spacing w:before="207"/>
        <w:ind w:left="416"/>
        <w:jc w:val="left"/>
      </w:pPr>
      <w:r>
        <w:rPr/>
        <w:t>Formy prodeje:</w:t>
      </w:r>
    </w:p>
    <w:p>
      <w:pPr>
        <w:pStyle w:val="ListParagraph"/>
        <w:numPr>
          <w:ilvl w:val="1"/>
          <w:numId w:val="9"/>
        </w:numPr>
        <w:tabs>
          <w:tab w:pos="1856" w:val="left" w:leader="none"/>
          <w:tab w:pos="1857" w:val="left" w:leader="none"/>
        </w:tabs>
        <w:spacing w:line="240" w:lineRule="auto" w:before="1" w:after="0"/>
        <w:ind w:left="1856" w:right="0" w:hanging="361"/>
        <w:jc w:val="left"/>
        <w:rPr>
          <w:sz w:val="24"/>
        </w:rPr>
      </w:pPr>
      <w:r>
        <w:rPr>
          <w:sz w:val="24"/>
        </w:rPr>
        <w:t>prodej farmářských</w:t>
      </w:r>
      <w:r>
        <w:rPr>
          <w:spacing w:val="-8"/>
          <w:sz w:val="24"/>
        </w:rPr>
        <w:t> </w:t>
      </w:r>
      <w:r>
        <w:rPr>
          <w:sz w:val="24"/>
        </w:rPr>
        <w:t>výrobků</w:t>
      </w:r>
    </w:p>
    <w:p>
      <w:pPr>
        <w:pStyle w:val="ListParagraph"/>
        <w:numPr>
          <w:ilvl w:val="1"/>
          <w:numId w:val="9"/>
        </w:numPr>
        <w:tabs>
          <w:tab w:pos="1856" w:val="left" w:leader="none"/>
          <w:tab w:pos="1857" w:val="left" w:leader="none"/>
        </w:tabs>
        <w:spacing w:line="240" w:lineRule="auto" w:before="0" w:after="0"/>
        <w:ind w:left="1856" w:right="0" w:hanging="361"/>
        <w:jc w:val="left"/>
        <w:rPr>
          <w:sz w:val="24"/>
        </w:rPr>
      </w:pPr>
      <w:r>
        <w:rPr>
          <w:sz w:val="24"/>
        </w:rPr>
        <w:t>prodej rukodělných</w:t>
      </w:r>
      <w:r>
        <w:rPr>
          <w:spacing w:val="-12"/>
          <w:sz w:val="24"/>
        </w:rPr>
        <w:t> </w:t>
      </w:r>
      <w:r>
        <w:rPr>
          <w:sz w:val="24"/>
        </w:rPr>
        <w:t>výrobků</w:t>
      </w:r>
    </w:p>
    <w:p>
      <w:pPr>
        <w:pStyle w:val="ListParagraph"/>
        <w:numPr>
          <w:ilvl w:val="1"/>
          <w:numId w:val="9"/>
        </w:numPr>
        <w:tabs>
          <w:tab w:pos="1856" w:val="left" w:leader="none"/>
          <w:tab w:pos="1857" w:val="left" w:leader="none"/>
        </w:tabs>
        <w:spacing w:line="240" w:lineRule="auto" w:before="0" w:after="0"/>
        <w:ind w:left="1856" w:right="0" w:hanging="361"/>
        <w:jc w:val="left"/>
        <w:rPr>
          <w:sz w:val="24"/>
        </w:rPr>
      </w:pPr>
      <w:r>
        <w:rPr>
          <w:sz w:val="24"/>
        </w:rPr>
        <w:t>poskytování hostinských služeb –</w:t>
      </w:r>
      <w:r>
        <w:rPr>
          <w:spacing w:val="1"/>
          <w:sz w:val="24"/>
        </w:rPr>
        <w:t> </w:t>
      </w:r>
      <w:r>
        <w:rPr>
          <w:sz w:val="24"/>
        </w:rPr>
        <w:t>občerstvení</w:t>
      </w:r>
    </w:p>
    <w:p>
      <w:pPr>
        <w:spacing w:after="0" w:line="240" w:lineRule="auto"/>
        <w:jc w:val="left"/>
        <w:rPr>
          <w:sz w:val="24"/>
        </w:rPr>
        <w:sectPr>
          <w:pgSz w:w="11920" w:h="16850"/>
          <w:pgMar w:header="0" w:footer="1049" w:top="1600" w:bottom="1240" w:left="1300" w:right="1180"/>
        </w:sectPr>
      </w:pPr>
    </w:p>
    <w:p>
      <w:pPr>
        <w:pStyle w:val="BodyText"/>
        <w:rPr>
          <w:sz w:val="20"/>
        </w:rPr>
      </w:pPr>
    </w:p>
    <w:p>
      <w:pPr>
        <w:pStyle w:val="BodyText"/>
        <w:spacing w:before="4"/>
        <w:rPr>
          <w:sz w:val="26"/>
        </w:rPr>
      </w:pPr>
    </w:p>
    <w:p>
      <w:pPr>
        <w:pStyle w:val="BodyText"/>
        <w:spacing w:before="90"/>
        <w:ind w:right="462"/>
        <w:jc w:val="right"/>
      </w:pPr>
      <w:r>
        <w:rPr/>
        <w:t>Příloha č. 3</w:t>
      </w:r>
    </w:p>
    <w:p>
      <w:pPr>
        <w:pStyle w:val="BodyText"/>
        <w:spacing w:before="4"/>
        <w:rPr>
          <w:sz w:val="25"/>
        </w:rPr>
      </w:pPr>
    </w:p>
    <w:p>
      <w:pPr>
        <w:spacing w:line="225" w:lineRule="auto" w:before="1"/>
        <w:ind w:left="1436" w:right="365" w:hanging="1320"/>
        <w:jc w:val="left"/>
        <w:rPr>
          <w:sz w:val="16"/>
        </w:rPr>
      </w:pPr>
      <w:r>
        <w:rPr>
          <w:b/>
          <w:sz w:val="24"/>
        </w:rPr>
        <w:t>Tržní místo: předsunuté prodejní místo, </w:t>
      </w:r>
      <w:r>
        <w:rPr>
          <w:sz w:val="24"/>
        </w:rPr>
        <w:t>ul. Míru</w:t>
      </w:r>
      <w:r>
        <w:rPr>
          <w:b/>
          <w:sz w:val="24"/>
        </w:rPr>
        <w:t>, </w:t>
      </w:r>
      <w:r>
        <w:rPr>
          <w:sz w:val="24"/>
        </w:rPr>
        <w:t>parc. č. 372/1 (před provozovnou „Josef Mlčoch“, ul. Míru, čp. 801), maximální kapacita záboru do 5 m</w:t>
      </w:r>
      <w:r>
        <w:rPr>
          <w:position w:val="9"/>
          <w:sz w:val="16"/>
        </w:rPr>
        <w:t>2</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0"/>
        </w:rPr>
      </w:pPr>
      <w:r>
        <w:rPr/>
        <w:drawing>
          <wp:anchor distT="0" distB="0" distL="0" distR="0" allowOverlap="1" layoutInCell="1" locked="0" behindDoc="0" simplePos="0" relativeHeight="4">
            <wp:simplePos x="0" y="0"/>
            <wp:positionH relativeFrom="page">
              <wp:posOffset>899160</wp:posOffset>
            </wp:positionH>
            <wp:positionV relativeFrom="paragraph">
              <wp:posOffset>177013</wp:posOffset>
            </wp:positionV>
            <wp:extent cx="5496556" cy="4837938"/>
            <wp:effectExtent l="0" t="0" r="0" b="0"/>
            <wp:wrapTopAndBottom/>
            <wp:docPr id="5" name="image3.jpeg" descr="______ \ U s e r s \ p o s p i s i l - d \ D e s k t o p \ M l   o c h . p n g"/>
            <wp:cNvGraphicFramePr>
              <a:graphicFrameLocks noChangeAspect="1"/>
            </wp:cNvGraphicFramePr>
            <a:graphic>
              <a:graphicData uri="http://schemas.openxmlformats.org/drawingml/2006/picture">
                <pic:pic>
                  <pic:nvPicPr>
                    <pic:cNvPr id="6" name="image3.jpeg"/>
                    <pic:cNvPicPr/>
                  </pic:nvPicPr>
                  <pic:blipFill>
                    <a:blip r:embed="rId8" cstate="print"/>
                    <a:stretch>
                      <a:fillRect/>
                    </a:stretch>
                  </pic:blipFill>
                  <pic:spPr>
                    <a:xfrm>
                      <a:off x="0" y="0"/>
                      <a:ext cx="5496556" cy="4837938"/>
                    </a:xfrm>
                    <a:prstGeom prst="rect">
                      <a:avLst/>
                    </a:prstGeom>
                  </pic:spPr>
                </pic:pic>
              </a:graphicData>
            </a:graphic>
          </wp:anchor>
        </w:drawing>
      </w:r>
    </w:p>
    <w:sectPr>
      <w:pgSz w:w="11920" w:h="16850"/>
      <w:pgMar w:header="0" w:footer="1049" w:top="1600" w:bottom="1240" w:left="1300" w:right="1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15.640015pt;margin-top:778.60260pt;width:12pt;height:15.3pt;mso-position-horizontal-relative:page;mso-position-vertical-relative:page;z-index:-251881472" type="#_x0000_t202" filled="false" stroked="false">
          <v:textbox inset="0,0,0,0">
            <w:txbxContent>
              <w:p>
                <w:pPr>
                  <w:pStyle w:val="BodyText"/>
                  <w:spacing w:before="10"/>
                  <w:ind w:left="60"/>
                </w:pPr>
                <w:r>
                  <w:rPr/>
                  <w:fldChar w:fldCharType="begin"/>
                </w:r>
                <w:r>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1256" w:hanging="322"/>
        <w:jc w:val="left"/>
      </w:pPr>
      <w:rPr>
        <w:rFonts w:hint="default" w:ascii="Times New Roman" w:hAnsi="Times New Roman" w:eastAsia="Times New Roman" w:cs="Times New Roman"/>
        <w:b/>
        <w:bCs/>
        <w:spacing w:val="-5"/>
        <w:w w:val="99"/>
        <w:sz w:val="24"/>
        <w:szCs w:val="24"/>
        <w:lang w:val="cs-CZ" w:eastAsia="cs-CZ" w:bidi="cs-CZ"/>
      </w:rPr>
    </w:lvl>
    <w:lvl w:ilvl="1">
      <w:start w:val="0"/>
      <w:numFmt w:val="bullet"/>
      <w:lvlText w:val="-"/>
      <w:lvlJc w:val="left"/>
      <w:pPr>
        <w:ind w:left="1856" w:hanging="360"/>
      </w:pPr>
      <w:rPr>
        <w:rFonts w:hint="default" w:ascii="Times New Roman" w:hAnsi="Times New Roman" w:eastAsia="Times New Roman" w:cs="Times New Roman"/>
        <w:b/>
        <w:bCs/>
        <w:spacing w:val="-4"/>
        <w:w w:val="99"/>
        <w:sz w:val="24"/>
        <w:szCs w:val="24"/>
        <w:lang w:val="cs-CZ" w:eastAsia="cs-CZ" w:bidi="cs-CZ"/>
      </w:rPr>
    </w:lvl>
    <w:lvl w:ilvl="2">
      <w:start w:val="0"/>
      <w:numFmt w:val="bullet"/>
      <w:lvlText w:val="•"/>
      <w:lvlJc w:val="left"/>
      <w:pPr>
        <w:ind w:left="2701" w:hanging="360"/>
      </w:pPr>
      <w:rPr>
        <w:rFonts w:hint="default"/>
        <w:lang w:val="cs-CZ" w:eastAsia="cs-CZ" w:bidi="cs-CZ"/>
      </w:rPr>
    </w:lvl>
    <w:lvl w:ilvl="3">
      <w:start w:val="0"/>
      <w:numFmt w:val="bullet"/>
      <w:lvlText w:val="•"/>
      <w:lvlJc w:val="left"/>
      <w:pPr>
        <w:ind w:left="3542" w:hanging="360"/>
      </w:pPr>
      <w:rPr>
        <w:rFonts w:hint="default"/>
        <w:lang w:val="cs-CZ" w:eastAsia="cs-CZ" w:bidi="cs-CZ"/>
      </w:rPr>
    </w:lvl>
    <w:lvl w:ilvl="4">
      <w:start w:val="0"/>
      <w:numFmt w:val="bullet"/>
      <w:lvlText w:val="•"/>
      <w:lvlJc w:val="left"/>
      <w:pPr>
        <w:ind w:left="4383" w:hanging="360"/>
      </w:pPr>
      <w:rPr>
        <w:rFonts w:hint="default"/>
        <w:lang w:val="cs-CZ" w:eastAsia="cs-CZ" w:bidi="cs-CZ"/>
      </w:rPr>
    </w:lvl>
    <w:lvl w:ilvl="5">
      <w:start w:val="0"/>
      <w:numFmt w:val="bullet"/>
      <w:lvlText w:val="•"/>
      <w:lvlJc w:val="left"/>
      <w:pPr>
        <w:ind w:left="5224" w:hanging="360"/>
      </w:pPr>
      <w:rPr>
        <w:rFonts w:hint="default"/>
        <w:lang w:val="cs-CZ" w:eastAsia="cs-CZ" w:bidi="cs-CZ"/>
      </w:rPr>
    </w:lvl>
    <w:lvl w:ilvl="6">
      <w:start w:val="0"/>
      <w:numFmt w:val="bullet"/>
      <w:lvlText w:val="•"/>
      <w:lvlJc w:val="left"/>
      <w:pPr>
        <w:ind w:left="6066" w:hanging="360"/>
      </w:pPr>
      <w:rPr>
        <w:rFonts w:hint="default"/>
        <w:lang w:val="cs-CZ" w:eastAsia="cs-CZ" w:bidi="cs-CZ"/>
      </w:rPr>
    </w:lvl>
    <w:lvl w:ilvl="7">
      <w:start w:val="0"/>
      <w:numFmt w:val="bullet"/>
      <w:lvlText w:val="•"/>
      <w:lvlJc w:val="left"/>
      <w:pPr>
        <w:ind w:left="6907" w:hanging="360"/>
      </w:pPr>
      <w:rPr>
        <w:rFonts w:hint="default"/>
        <w:lang w:val="cs-CZ" w:eastAsia="cs-CZ" w:bidi="cs-CZ"/>
      </w:rPr>
    </w:lvl>
    <w:lvl w:ilvl="8">
      <w:start w:val="0"/>
      <w:numFmt w:val="bullet"/>
      <w:lvlText w:val="•"/>
      <w:lvlJc w:val="left"/>
      <w:pPr>
        <w:ind w:left="7748" w:hanging="360"/>
      </w:pPr>
      <w:rPr>
        <w:rFonts w:hint="default"/>
        <w:lang w:val="cs-CZ" w:eastAsia="cs-CZ" w:bidi="cs-CZ"/>
      </w:rPr>
    </w:lvl>
  </w:abstractNum>
  <w:abstractNum w:abstractNumId="7">
    <w:multiLevelType w:val="hybridMultilevel"/>
    <w:lvl w:ilvl="0">
      <w:start w:val="1"/>
      <w:numFmt w:val="decimal"/>
      <w:lvlText w:val="%1)"/>
      <w:lvlJc w:val="left"/>
      <w:pPr>
        <w:ind w:left="735" w:hanging="260"/>
        <w:jc w:val="left"/>
      </w:pPr>
      <w:rPr>
        <w:rFonts w:hint="default" w:ascii="Times New Roman" w:hAnsi="Times New Roman" w:eastAsia="Times New Roman" w:cs="Times New Roman"/>
        <w:b/>
        <w:bCs/>
        <w:w w:val="99"/>
        <w:sz w:val="24"/>
        <w:szCs w:val="24"/>
        <w:lang w:val="cs-CZ" w:eastAsia="cs-CZ" w:bidi="cs-CZ"/>
      </w:rPr>
    </w:lvl>
    <w:lvl w:ilvl="1">
      <w:start w:val="0"/>
      <w:numFmt w:val="bullet"/>
      <w:lvlText w:val="•"/>
      <w:lvlJc w:val="left"/>
      <w:pPr>
        <w:ind w:left="1860" w:hanging="260"/>
      </w:pPr>
      <w:rPr>
        <w:rFonts w:hint="default"/>
        <w:lang w:val="cs-CZ" w:eastAsia="cs-CZ" w:bidi="cs-CZ"/>
      </w:rPr>
    </w:lvl>
    <w:lvl w:ilvl="2">
      <w:start w:val="0"/>
      <w:numFmt w:val="bullet"/>
      <w:lvlText w:val="•"/>
      <w:lvlJc w:val="left"/>
      <w:pPr>
        <w:ind w:left="1880" w:hanging="260"/>
      </w:pPr>
      <w:rPr>
        <w:rFonts w:hint="default"/>
        <w:lang w:val="cs-CZ" w:eastAsia="cs-CZ" w:bidi="cs-CZ"/>
      </w:rPr>
    </w:lvl>
    <w:lvl w:ilvl="3">
      <w:start w:val="0"/>
      <w:numFmt w:val="bullet"/>
      <w:lvlText w:val="•"/>
      <w:lvlJc w:val="left"/>
      <w:pPr>
        <w:ind w:left="2823" w:hanging="260"/>
      </w:pPr>
      <w:rPr>
        <w:rFonts w:hint="default"/>
        <w:lang w:val="cs-CZ" w:eastAsia="cs-CZ" w:bidi="cs-CZ"/>
      </w:rPr>
    </w:lvl>
    <w:lvl w:ilvl="4">
      <w:start w:val="0"/>
      <w:numFmt w:val="bullet"/>
      <w:lvlText w:val="•"/>
      <w:lvlJc w:val="left"/>
      <w:pPr>
        <w:ind w:left="3767" w:hanging="260"/>
      </w:pPr>
      <w:rPr>
        <w:rFonts w:hint="default"/>
        <w:lang w:val="cs-CZ" w:eastAsia="cs-CZ" w:bidi="cs-CZ"/>
      </w:rPr>
    </w:lvl>
    <w:lvl w:ilvl="5">
      <w:start w:val="0"/>
      <w:numFmt w:val="bullet"/>
      <w:lvlText w:val="•"/>
      <w:lvlJc w:val="left"/>
      <w:pPr>
        <w:ind w:left="4711" w:hanging="260"/>
      </w:pPr>
      <w:rPr>
        <w:rFonts w:hint="default"/>
        <w:lang w:val="cs-CZ" w:eastAsia="cs-CZ" w:bidi="cs-CZ"/>
      </w:rPr>
    </w:lvl>
    <w:lvl w:ilvl="6">
      <w:start w:val="0"/>
      <w:numFmt w:val="bullet"/>
      <w:lvlText w:val="•"/>
      <w:lvlJc w:val="left"/>
      <w:pPr>
        <w:ind w:left="5655" w:hanging="260"/>
      </w:pPr>
      <w:rPr>
        <w:rFonts w:hint="default"/>
        <w:lang w:val="cs-CZ" w:eastAsia="cs-CZ" w:bidi="cs-CZ"/>
      </w:rPr>
    </w:lvl>
    <w:lvl w:ilvl="7">
      <w:start w:val="0"/>
      <w:numFmt w:val="bullet"/>
      <w:lvlText w:val="•"/>
      <w:lvlJc w:val="left"/>
      <w:pPr>
        <w:ind w:left="6599" w:hanging="260"/>
      </w:pPr>
      <w:rPr>
        <w:rFonts w:hint="default"/>
        <w:lang w:val="cs-CZ" w:eastAsia="cs-CZ" w:bidi="cs-CZ"/>
      </w:rPr>
    </w:lvl>
    <w:lvl w:ilvl="8">
      <w:start w:val="0"/>
      <w:numFmt w:val="bullet"/>
      <w:lvlText w:val="•"/>
      <w:lvlJc w:val="left"/>
      <w:pPr>
        <w:ind w:left="7543" w:hanging="260"/>
      </w:pPr>
      <w:rPr>
        <w:rFonts w:hint="default"/>
        <w:lang w:val="cs-CZ" w:eastAsia="cs-CZ" w:bidi="cs-CZ"/>
      </w:rPr>
    </w:lvl>
  </w:abstractNum>
  <w:abstractNum w:abstractNumId="6">
    <w:multiLevelType w:val="hybridMultilevel"/>
    <w:lvl w:ilvl="0">
      <w:start w:val="1"/>
      <w:numFmt w:val="decimal"/>
      <w:lvlText w:val="(%1)"/>
      <w:lvlJc w:val="left"/>
      <w:pPr>
        <w:ind w:left="116" w:hanging="341"/>
        <w:jc w:val="left"/>
      </w:pPr>
      <w:rPr>
        <w:rFonts w:hint="default" w:ascii="Times New Roman" w:hAnsi="Times New Roman" w:eastAsia="Times New Roman" w:cs="Times New Roman"/>
        <w:spacing w:val="-2"/>
        <w:w w:val="99"/>
        <w:sz w:val="24"/>
        <w:szCs w:val="24"/>
        <w:lang w:val="cs-CZ" w:eastAsia="cs-CZ" w:bidi="cs-CZ"/>
      </w:rPr>
    </w:lvl>
    <w:lvl w:ilvl="1">
      <w:start w:val="0"/>
      <w:numFmt w:val="bullet"/>
      <w:lvlText w:val="•"/>
      <w:lvlJc w:val="left"/>
      <w:pPr>
        <w:ind w:left="1051" w:hanging="341"/>
      </w:pPr>
      <w:rPr>
        <w:rFonts w:hint="default"/>
        <w:lang w:val="cs-CZ" w:eastAsia="cs-CZ" w:bidi="cs-CZ"/>
      </w:rPr>
    </w:lvl>
    <w:lvl w:ilvl="2">
      <w:start w:val="0"/>
      <w:numFmt w:val="bullet"/>
      <w:lvlText w:val="•"/>
      <w:lvlJc w:val="left"/>
      <w:pPr>
        <w:ind w:left="1982" w:hanging="341"/>
      </w:pPr>
      <w:rPr>
        <w:rFonts w:hint="default"/>
        <w:lang w:val="cs-CZ" w:eastAsia="cs-CZ" w:bidi="cs-CZ"/>
      </w:rPr>
    </w:lvl>
    <w:lvl w:ilvl="3">
      <w:start w:val="0"/>
      <w:numFmt w:val="bullet"/>
      <w:lvlText w:val="•"/>
      <w:lvlJc w:val="left"/>
      <w:pPr>
        <w:ind w:left="2913" w:hanging="341"/>
      </w:pPr>
      <w:rPr>
        <w:rFonts w:hint="default"/>
        <w:lang w:val="cs-CZ" w:eastAsia="cs-CZ" w:bidi="cs-CZ"/>
      </w:rPr>
    </w:lvl>
    <w:lvl w:ilvl="4">
      <w:start w:val="0"/>
      <w:numFmt w:val="bullet"/>
      <w:lvlText w:val="•"/>
      <w:lvlJc w:val="left"/>
      <w:pPr>
        <w:ind w:left="3844" w:hanging="341"/>
      </w:pPr>
      <w:rPr>
        <w:rFonts w:hint="default"/>
        <w:lang w:val="cs-CZ" w:eastAsia="cs-CZ" w:bidi="cs-CZ"/>
      </w:rPr>
    </w:lvl>
    <w:lvl w:ilvl="5">
      <w:start w:val="0"/>
      <w:numFmt w:val="bullet"/>
      <w:lvlText w:val="•"/>
      <w:lvlJc w:val="left"/>
      <w:pPr>
        <w:ind w:left="4775" w:hanging="341"/>
      </w:pPr>
      <w:rPr>
        <w:rFonts w:hint="default"/>
        <w:lang w:val="cs-CZ" w:eastAsia="cs-CZ" w:bidi="cs-CZ"/>
      </w:rPr>
    </w:lvl>
    <w:lvl w:ilvl="6">
      <w:start w:val="0"/>
      <w:numFmt w:val="bullet"/>
      <w:lvlText w:val="•"/>
      <w:lvlJc w:val="left"/>
      <w:pPr>
        <w:ind w:left="5706" w:hanging="341"/>
      </w:pPr>
      <w:rPr>
        <w:rFonts w:hint="default"/>
        <w:lang w:val="cs-CZ" w:eastAsia="cs-CZ" w:bidi="cs-CZ"/>
      </w:rPr>
    </w:lvl>
    <w:lvl w:ilvl="7">
      <w:start w:val="0"/>
      <w:numFmt w:val="bullet"/>
      <w:lvlText w:val="•"/>
      <w:lvlJc w:val="left"/>
      <w:pPr>
        <w:ind w:left="6637" w:hanging="341"/>
      </w:pPr>
      <w:rPr>
        <w:rFonts w:hint="default"/>
        <w:lang w:val="cs-CZ" w:eastAsia="cs-CZ" w:bidi="cs-CZ"/>
      </w:rPr>
    </w:lvl>
    <w:lvl w:ilvl="8">
      <w:start w:val="0"/>
      <w:numFmt w:val="bullet"/>
      <w:lvlText w:val="•"/>
      <w:lvlJc w:val="left"/>
      <w:pPr>
        <w:ind w:left="7568" w:hanging="341"/>
      </w:pPr>
      <w:rPr>
        <w:rFonts w:hint="default"/>
        <w:lang w:val="cs-CZ" w:eastAsia="cs-CZ" w:bidi="cs-CZ"/>
      </w:rPr>
    </w:lvl>
  </w:abstractNum>
  <w:abstractNum w:abstractNumId="5">
    <w:multiLevelType w:val="hybridMultilevel"/>
    <w:lvl w:ilvl="0">
      <w:start w:val="1"/>
      <w:numFmt w:val="decimal"/>
      <w:lvlText w:val="(%1)"/>
      <w:lvlJc w:val="left"/>
      <w:pPr>
        <w:ind w:left="116" w:hanging="425"/>
        <w:jc w:val="left"/>
      </w:pPr>
      <w:rPr>
        <w:rFonts w:hint="default" w:ascii="Times New Roman" w:hAnsi="Times New Roman" w:eastAsia="Times New Roman" w:cs="Times New Roman"/>
        <w:spacing w:val="-32"/>
        <w:w w:val="99"/>
        <w:sz w:val="24"/>
        <w:szCs w:val="24"/>
        <w:lang w:val="cs-CZ" w:eastAsia="cs-CZ" w:bidi="cs-CZ"/>
      </w:rPr>
    </w:lvl>
    <w:lvl w:ilvl="1">
      <w:start w:val="0"/>
      <w:numFmt w:val="bullet"/>
      <w:lvlText w:val="•"/>
      <w:lvlJc w:val="left"/>
      <w:pPr>
        <w:ind w:left="1051" w:hanging="425"/>
      </w:pPr>
      <w:rPr>
        <w:rFonts w:hint="default"/>
        <w:lang w:val="cs-CZ" w:eastAsia="cs-CZ" w:bidi="cs-CZ"/>
      </w:rPr>
    </w:lvl>
    <w:lvl w:ilvl="2">
      <w:start w:val="0"/>
      <w:numFmt w:val="bullet"/>
      <w:lvlText w:val="•"/>
      <w:lvlJc w:val="left"/>
      <w:pPr>
        <w:ind w:left="1982" w:hanging="425"/>
      </w:pPr>
      <w:rPr>
        <w:rFonts w:hint="default"/>
        <w:lang w:val="cs-CZ" w:eastAsia="cs-CZ" w:bidi="cs-CZ"/>
      </w:rPr>
    </w:lvl>
    <w:lvl w:ilvl="3">
      <w:start w:val="0"/>
      <w:numFmt w:val="bullet"/>
      <w:lvlText w:val="•"/>
      <w:lvlJc w:val="left"/>
      <w:pPr>
        <w:ind w:left="2913" w:hanging="425"/>
      </w:pPr>
      <w:rPr>
        <w:rFonts w:hint="default"/>
        <w:lang w:val="cs-CZ" w:eastAsia="cs-CZ" w:bidi="cs-CZ"/>
      </w:rPr>
    </w:lvl>
    <w:lvl w:ilvl="4">
      <w:start w:val="0"/>
      <w:numFmt w:val="bullet"/>
      <w:lvlText w:val="•"/>
      <w:lvlJc w:val="left"/>
      <w:pPr>
        <w:ind w:left="3844" w:hanging="425"/>
      </w:pPr>
      <w:rPr>
        <w:rFonts w:hint="default"/>
        <w:lang w:val="cs-CZ" w:eastAsia="cs-CZ" w:bidi="cs-CZ"/>
      </w:rPr>
    </w:lvl>
    <w:lvl w:ilvl="5">
      <w:start w:val="0"/>
      <w:numFmt w:val="bullet"/>
      <w:lvlText w:val="•"/>
      <w:lvlJc w:val="left"/>
      <w:pPr>
        <w:ind w:left="4775" w:hanging="425"/>
      </w:pPr>
      <w:rPr>
        <w:rFonts w:hint="default"/>
        <w:lang w:val="cs-CZ" w:eastAsia="cs-CZ" w:bidi="cs-CZ"/>
      </w:rPr>
    </w:lvl>
    <w:lvl w:ilvl="6">
      <w:start w:val="0"/>
      <w:numFmt w:val="bullet"/>
      <w:lvlText w:val="•"/>
      <w:lvlJc w:val="left"/>
      <w:pPr>
        <w:ind w:left="5706" w:hanging="425"/>
      </w:pPr>
      <w:rPr>
        <w:rFonts w:hint="default"/>
        <w:lang w:val="cs-CZ" w:eastAsia="cs-CZ" w:bidi="cs-CZ"/>
      </w:rPr>
    </w:lvl>
    <w:lvl w:ilvl="7">
      <w:start w:val="0"/>
      <w:numFmt w:val="bullet"/>
      <w:lvlText w:val="•"/>
      <w:lvlJc w:val="left"/>
      <w:pPr>
        <w:ind w:left="6637" w:hanging="425"/>
      </w:pPr>
      <w:rPr>
        <w:rFonts w:hint="default"/>
        <w:lang w:val="cs-CZ" w:eastAsia="cs-CZ" w:bidi="cs-CZ"/>
      </w:rPr>
    </w:lvl>
    <w:lvl w:ilvl="8">
      <w:start w:val="0"/>
      <w:numFmt w:val="bullet"/>
      <w:lvlText w:val="•"/>
      <w:lvlJc w:val="left"/>
      <w:pPr>
        <w:ind w:left="7568" w:hanging="425"/>
      </w:pPr>
      <w:rPr>
        <w:rFonts w:hint="default"/>
        <w:lang w:val="cs-CZ" w:eastAsia="cs-CZ" w:bidi="cs-CZ"/>
      </w:rPr>
    </w:lvl>
  </w:abstractNum>
  <w:abstractNum w:abstractNumId="4">
    <w:multiLevelType w:val="hybridMultilevel"/>
    <w:lvl w:ilvl="0">
      <w:start w:val="1"/>
      <w:numFmt w:val="lowerLetter"/>
      <w:lvlText w:val="%1)"/>
      <w:lvlJc w:val="left"/>
      <w:pPr>
        <w:ind w:left="500" w:hanging="365"/>
        <w:jc w:val="left"/>
      </w:pPr>
      <w:rPr>
        <w:rFonts w:hint="default" w:ascii="Times New Roman" w:hAnsi="Times New Roman" w:eastAsia="Times New Roman" w:cs="Times New Roman"/>
        <w:spacing w:val="-15"/>
        <w:w w:val="99"/>
        <w:sz w:val="24"/>
        <w:szCs w:val="24"/>
        <w:lang w:val="cs-CZ" w:eastAsia="cs-CZ" w:bidi="cs-CZ"/>
      </w:rPr>
    </w:lvl>
    <w:lvl w:ilvl="1">
      <w:start w:val="1"/>
      <w:numFmt w:val="decimal"/>
      <w:lvlText w:val="(%2)"/>
      <w:lvlJc w:val="left"/>
      <w:pPr>
        <w:ind w:left="1162" w:hanging="339"/>
        <w:jc w:val="left"/>
      </w:pPr>
      <w:rPr>
        <w:rFonts w:hint="default" w:ascii="Times New Roman" w:hAnsi="Times New Roman" w:eastAsia="Times New Roman" w:cs="Times New Roman"/>
        <w:w w:val="99"/>
        <w:sz w:val="24"/>
        <w:szCs w:val="24"/>
        <w:lang w:val="cs-CZ" w:eastAsia="cs-CZ" w:bidi="cs-CZ"/>
      </w:rPr>
    </w:lvl>
    <w:lvl w:ilvl="2">
      <w:start w:val="0"/>
      <w:numFmt w:val="bullet"/>
      <w:lvlText w:val="•"/>
      <w:lvlJc w:val="left"/>
      <w:pPr>
        <w:ind w:left="2079" w:hanging="339"/>
      </w:pPr>
      <w:rPr>
        <w:rFonts w:hint="default"/>
        <w:lang w:val="cs-CZ" w:eastAsia="cs-CZ" w:bidi="cs-CZ"/>
      </w:rPr>
    </w:lvl>
    <w:lvl w:ilvl="3">
      <w:start w:val="0"/>
      <w:numFmt w:val="bullet"/>
      <w:lvlText w:val="•"/>
      <w:lvlJc w:val="left"/>
      <w:pPr>
        <w:ind w:left="2998" w:hanging="339"/>
      </w:pPr>
      <w:rPr>
        <w:rFonts w:hint="default"/>
        <w:lang w:val="cs-CZ" w:eastAsia="cs-CZ" w:bidi="cs-CZ"/>
      </w:rPr>
    </w:lvl>
    <w:lvl w:ilvl="4">
      <w:start w:val="0"/>
      <w:numFmt w:val="bullet"/>
      <w:lvlText w:val="•"/>
      <w:lvlJc w:val="left"/>
      <w:pPr>
        <w:ind w:left="3917" w:hanging="339"/>
      </w:pPr>
      <w:rPr>
        <w:rFonts w:hint="default"/>
        <w:lang w:val="cs-CZ" w:eastAsia="cs-CZ" w:bidi="cs-CZ"/>
      </w:rPr>
    </w:lvl>
    <w:lvl w:ilvl="5">
      <w:start w:val="0"/>
      <w:numFmt w:val="bullet"/>
      <w:lvlText w:val="•"/>
      <w:lvlJc w:val="left"/>
      <w:pPr>
        <w:ind w:left="4836" w:hanging="339"/>
      </w:pPr>
      <w:rPr>
        <w:rFonts w:hint="default"/>
        <w:lang w:val="cs-CZ" w:eastAsia="cs-CZ" w:bidi="cs-CZ"/>
      </w:rPr>
    </w:lvl>
    <w:lvl w:ilvl="6">
      <w:start w:val="0"/>
      <w:numFmt w:val="bullet"/>
      <w:lvlText w:val="•"/>
      <w:lvlJc w:val="left"/>
      <w:pPr>
        <w:ind w:left="5755" w:hanging="339"/>
      </w:pPr>
      <w:rPr>
        <w:rFonts w:hint="default"/>
        <w:lang w:val="cs-CZ" w:eastAsia="cs-CZ" w:bidi="cs-CZ"/>
      </w:rPr>
    </w:lvl>
    <w:lvl w:ilvl="7">
      <w:start w:val="0"/>
      <w:numFmt w:val="bullet"/>
      <w:lvlText w:val="•"/>
      <w:lvlJc w:val="left"/>
      <w:pPr>
        <w:ind w:left="6674" w:hanging="339"/>
      </w:pPr>
      <w:rPr>
        <w:rFonts w:hint="default"/>
        <w:lang w:val="cs-CZ" w:eastAsia="cs-CZ" w:bidi="cs-CZ"/>
      </w:rPr>
    </w:lvl>
    <w:lvl w:ilvl="8">
      <w:start w:val="0"/>
      <w:numFmt w:val="bullet"/>
      <w:lvlText w:val="•"/>
      <w:lvlJc w:val="left"/>
      <w:pPr>
        <w:ind w:left="7593" w:hanging="339"/>
      </w:pPr>
      <w:rPr>
        <w:rFonts w:hint="default"/>
        <w:lang w:val="cs-CZ" w:eastAsia="cs-CZ" w:bidi="cs-CZ"/>
      </w:rPr>
    </w:lvl>
  </w:abstractNum>
  <w:abstractNum w:abstractNumId="3">
    <w:multiLevelType w:val="hybridMultilevel"/>
    <w:lvl w:ilvl="0">
      <w:start w:val="1"/>
      <w:numFmt w:val="lowerLetter"/>
      <w:lvlText w:val="%1)"/>
      <w:lvlJc w:val="left"/>
      <w:pPr>
        <w:ind w:left="541" w:hanging="425"/>
        <w:jc w:val="left"/>
      </w:pPr>
      <w:rPr>
        <w:rFonts w:hint="default" w:ascii="Times New Roman" w:hAnsi="Times New Roman" w:eastAsia="Times New Roman" w:cs="Times New Roman"/>
        <w:spacing w:val="-14"/>
        <w:w w:val="99"/>
        <w:sz w:val="24"/>
        <w:szCs w:val="24"/>
        <w:lang w:val="cs-CZ" w:eastAsia="cs-CZ" w:bidi="cs-CZ"/>
      </w:rPr>
    </w:lvl>
    <w:lvl w:ilvl="1">
      <w:start w:val="1"/>
      <w:numFmt w:val="decimal"/>
      <w:lvlText w:val="(%2)"/>
      <w:lvlJc w:val="left"/>
      <w:pPr>
        <w:ind w:left="116" w:hanging="341"/>
        <w:jc w:val="left"/>
      </w:pPr>
      <w:rPr>
        <w:rFonts w:hint="default" w:ascii="Times New Roman" w:hAnsi="Times New Roman" w:eastAsia="Times New Roman" w:cs="Times New Roman"/>
        <w:spacing w:val="-5"/>
        <w:w w:val="99"/>
        <w:sz w:val="24"/>
        <w:szCs w:val="24"/>
        <w:lang w:val="cs-CZ" w:eastAsia="cs-CZ" w:bidi="cs-CZ"/>
      </w:rPr>
    </w:lvl>
    <w:lvl w:ilvl="2">
      <w:start w:val="0"/>
      <w:numFmt w:val="bullet"/>
      <w:lvlText w:val="•"/>
      <w:lvlJc w:val="left"/>
      <w:pPr>
        <w:ind w:left="1527" w:hanging="341"/>
      </w:pPr>
      <w:rPr>
        <w:rFonts w:hint="default"/>
        <w:lang w:val="cs-CZ" w:eastAsia="cs-CZ" w:bidi="cs-CZ"/>
      </w:rPr>
    </w:lvl>
    <w:lvl w:ilvl="3">
      <w:start w:val="0"/>
      <w:numFmt w:val="bullet"/>
      <w:lvlText w:val="•"/>
      <w:lvlJc w:val="left"/>
      <w:pPr>
        <w:ind w:left="2515" w:hanging="341"/>
      </w:pPr>
      <w:rPr>
        <w:rFonts w:hint="default"/>
        <w:lang w:val="cs-CZ" w:eastAsia="cs-CZ" w:bidi="cs-CZ"/>
      </w:rPr>
    </w:lvl>
    <w:lvl w:ilvl="4">
      <w:start w:val="0"/>
      <w:numFmt w:val="bullet"/>
      <w:lvlText w:val="•"/>
      <w:lvlJc w:val="left"/>
      <w:pPr>
        <w:ind w:left="3503" w:hanging="341"/>
      </w:pPr>
      <w:rPr>
        <w:rFonts w:hint="default"/>
        <w:lang w:val="cs-CZ" w:eastAsia="cs-CZ" w:bidi="cs-CZ"/>
      </w:rPr>
    </w:lvl>
    <w:lvl w:ilvl="5">
      <w:start w:val="0"/>
      <w:numFmt w:val="bullet"/>
      <w:lvlText w:val="•"/>
      <w:lvlJc w:val="left"/>
      <w:pPr>
        <w:ind w:left="4491" w:hanging="341"/>
      </w:pPr>
      <w:rPr>
        <w:rFonts w:hint="default"/>
        <w:lang w:val="cs-CZ" w:eastAsia="cs-CZ" w:bidi="cs-CZ"/>
      </w:rPr>
    </w:lvl>
    <w:lvl w:ilvl="6">
      <w:start w:val="0"/>
      <w:numFmt w:val="bullet"/>
      <w:lvlText w:val="•"/>
      <w:lvlJc w:val="left"/>
      <w:pPr>
        <w:ind w:left="5479" w:hanging="341"/>
      </w:pPr>
      <w:rPr>
        <w:rFonts w:hint="default"/>
        <w:lang w:val="cs-CZ" w:eastAsia="cs-CZ" w:bidi="cs-CZ"/>
      </w:rPr>
    </w:lvl>
    <w:lvl w:ilvl="7">
      <w:start w:val="0"/>
      <w:numFmt w:val="bullet"/>
      <w:lvlText w:val="•"/>
      <w:lvlJc w:val="left"/>
      <w:pPr>
        <w:ind w:left="6467" w:hanging="341"/>
      </w:pPr>
      <w:rPr>
        <w:rFonts w:hint="default"/>
        <w:lang w:val="cs-CZ" w:eastAsia="cs-CZ" w:bidi="cs-CZ"/>
      </w:rPr>
    </w:lvl>
    <w:lvl w:ilvl="8">
      <w:start w:val="0"/>
      <w:numFmt w:val="bullet"/>
      <w:lvlText w:val="•"/>
      <w:lvlJc w:val="left"/>
      <w:pPr>
        <w:ind w:left="7455" w:hanging="341"/>
      </w:pPr>
      <w:rPr>
        <w:rFonts w:hint="default"/>
        <w:lang w:val="cs-CZ" w:eastAsia="cs-CZ" w:bidi="cs-CZ"/>
      </w:rPr>
    </w:lvl>
  </w:abstractNum>
  <w:abstractNum w:abstractNumId="2">
    <w:multiLevelType w:val="hybridMultilevel"/>
    <w:lvl w:ilvl="0">
      <w:start w:val="1"/>
      <w:numFmt w:val="lowerLetter"/>
      <w:lvlText w:val="%1)"/>
      <w:lvlJc w:val="left"/>
      <w:pPr>
        <w:ind w:left="543" w:hanging="428"/>
        <w:jc w:val="left"/>
      </w:pPr>
      <w:rPr>
        <w:rFonts w:hint="default" w:ascii="Times New Roman" w:hAnsi="Times New Roman" w:eastAsia="Times New Roman" w:cs="Times New Roman"/>
        <w:spacing w:val="-30"/>
        <w:w w:val="99"/>
        <w:sz w:val="24"/>
        <w:szCs w:val="24"/>
        <w:lang w:val="cs-CZ" w:eastAsia="cs-CZ" w:bidi="cs-CZ"/>
      </w:rPr>
    </w:lvl>
    <w:lvl w:ilvl="1">
      <w:start w:val="1"/>
      <w:numFmt w:val="decimal"/>
      <w:lvlText w:val="(%2)"/>
      <w:lvlJc w:val="left"/>
      <w:pPr>
        <w:ind w:left="116" w:hanging="339"/>
        <w:jc w:val="left"/>
      </w:pPr>
      <w:rPr>
        <w:rFonts w:hint="default" w:ascii="Times New Roman" w:hAnsi="Times New Roman" w:eastAsia="Times New Roman" w:cs="Times New Roman"/>
        <w:w w:val="99"/>
        <w:sz w:val="24"/>
        <w:szCs w:val="24"/>
        <w:lang w:val="cs-CZ" w:eastAsia="cs-CZ" w:bidi="cs-CZ"/>
      </w:rPr>
    </w:lvl>
    <w:lvl w:ilvl="2">
      <w:start w:val="0"/>
      <w:numFmt w:val="bullet"/>
      <w:lvlText w:val="•"/>
      <w:lvlJc w:val="left"/>
      <w:pPr>
        <w:ind w:left="1527" w:hanging="339"/>
      </w:pPr>
      <w:rPr>
        <w:rFonts w:hint="default"/>
        <w:lang w:val="cs-CZ" w:eastAsia="cs-CZ" w:bidi="cs-CZ"/>
      </w:rPr>
    </w:lvl>
    <w:lvl w:ilvl="3">
      <w:start w:val="0"/>
      <w:numFmt w:val="bullet"/>
      <w:lvlText w:val="•"/>
      <w:lvlJc w:val="left"/>
      <w:pPr>
        <w:ind w:left="2515" w:hanging="339"/>
      </w:pPr>
      <w:rPr>
        <w:rFonts w:hint="default"/>
        <w:lang w:val="cs-CZ" w:eastAsia="cs-CZ" w:bidi="cs-CZ"/>
      </w:rPr>
    </w:lvl>
    <w:lvl w:ilvl="4">
      <w:start w:val="0"/>
      <w:numFmt w:val="bullet"/>
      <w:lvlText w:val="•"/>
      <w:lvlJc w:val="left"/>
      <w:pPr>
        <w:ind w:left="3503" w:hanging="339"/>
      </w:pPr>
      <w:rPr>
        <w:rFonts w:hint="default"/>
        <w:lang w:val="cs-CZ" w:eastAsia="cs-CZ" w:bidi="cs-CZ"/>
      </w:rPr>
    </w:lvl>
    <w:lvl w:ilvl="5">
      <w:start w:val="0"/>
      <w:numFmt w:val="bullet"/>
      <w:lvlText w:val="•"/>
      <w:lvlJc w:val="left"/>
      <w:pPr>
        <w:ind w:left="4491" w:hanging="339"/>
      </w:pPr>
      <w:rPr>
        <w:rFonts w:hint="default"/>
        <w:lang w:val="cs-CZ" w:eastAsia="cs-CZ" w:bidi="cs-CZ"/>
      </w:rPr>
    </w:lvl>
    <w:lvl w:ilvl="6">
      <w:start w:val="0"/>
      <w:numFmt w:val="bullet"/>
      <w:lvlText w:val="•"/>
      <w:lvlJc w:val="left"/>
      <w:pPr>
        <w:ind w:left="5479" w:hanging="339"/>
      </w:pPr>
      <w:rPr>
        <w:rFonts w:hint="default"/>
        <w:lang w:val="cs-CZ" w:eastAsia="cs-CZ" w:bidi="cs-CZ"/>
      </w:rPr>
    </w:lvl>
    <w:lvl w:ilvl="7">
      <w:start w:val="0"/>
      <w:numFmt w:val="bullet"/>
      <w:lvlText w:val="•"/>
      <w:lvlJc w:val="left"/>
      <w:pPr>
        <w:ind w:left="6467" w:hanging="339"/>
      </w:pPr>
      <w:rPr>
        <w:rFonts w:hint="default"/>
        <w:lang w:val="cs-CZ" w:eastAsia="cs-CZ" w:bidi="cs-CZ"/>
      </w:rPr>
    </w:lvl>
    <w:lvl w:ilvl="8">
      <w:start w:val="0"/>
      <w:numFmt w:val="bullet"/>
      <w:lvlText w:val="•"/>
      <w:lvlJc w:val="left"/>
      <w:pPr>
        <w:ind w:left="7455" w:hanging="339"/>
      </w:pPr>
      <w:rPr>
        <w:rFonts w:hint="default"/>
        <w:lang w:val="cs-CZ" w:eastAsia="cs-CZ" w:bidi="cs-CZ"/>
      </w:rPr>
    </w:lvl>
  </w:abstractNum>
  <w:abstractNum w:abstractNumId="1">
    <w:multiLevelType w:val="hybridMultilevel"/>
    <w:lvl w:ilvl="0">
      <w:start w:val="1"/>
      <w:numFmt w:val="lowerLetter"/>
      <w:lvlText w:val="%1)"/>
      <w:lvlJc w:val="left"/>
      <w:pPr>
        <w:ind w:left="550" w:hanging="435"/>
        <w:jc w:val="left"/>
      </w:pPr>
      <w:rPr>
        <w:rFonts w:hint="default" w:ascii="Times New Roman" w:hAnsi="Times New Roman" w:eastAsia="Times New Roman" w:cs="Times New Roman"/>
        <w:spacing w:val="-9"/>
        <w:w w:val="99"/>
        <w:sz w:val="24"/>
        <w:szCs w:val="24"/>
        <w:lang w:val="cs-CZ" w:eastAsia="cs-CZ" w:bidi="cs-CZ"/>
      </w:rPr>
    </w:lvl>
    <w:lvl w:ilvl="1">
      <w:start w:val="0"/>
      <w:numFmt w:val="bullet"/>
      <w:lvlText w:val="•"/>
      <w:lvlJc w:val="left"/>
      <w:pPr>
        <w:ind w:left="1447" w:hanging="435"/>
      </w:pPr>
      <w:rPr>
        <w:rFonts w:hint="default"/>
        <w:lang w:val="cs-CZ" w:eastAsia="cs-CZ" w:bidi="cs-CZ"/>
      </w:rPr>
    </w:lvl>
    <w:lvl w:ilvl="2">
      <w:start w:val="0"/>
      <w:numFmt w:val="bullet"/>
      <w:lvlText w:val="•"/>
      <w:lvlJc w:val="left"/>
      <w:pPr>
        <w:ind w:left="2334" w:hanging="435"/>
      </w:pPr>
      <w:rPr>
        <w:rFonts w:hint="default"/>
        <w:lang w:val="cs-CZ" w:eastAsia="cs-CZ" w:bidi="cs-CZ"/>
      </w:rPr>
    </w:lvl>
    <w:lvl w:ilvl="3">
      <w:start w:val="0"/>
      <w:numFmt w:val="bullet"/>
      <w:lvlText w:val="•"/>
      <w:lvlJc w:val="left"/>
      <w:pPr>
        <w:ind w:left="3221" w:hanging="435"/>
      </w:pPr>
      <w:rPr>
        <w:rFonts w:hint="default"/>
        <w:lang w:val="cs-CZ" w:eastAsia="cs-CZ" w:bidi="cs-CZ"/>
      </w:rPr>
    </w:lvl>
    <w:lvl w:ilvl="4">
      <w:start w:val="0"/>
      <w:numFmt w:val="bullet"/>
      <w:lvlText w:val="•"/>
      <w:lvlJc w:val="left"/>
      <w:pPr>
        <w:ind w:left="4108" w:hanging="435"/>
      </w:pPr>
      <w:rPr>
        <w:rFonts w:hint="default"/>
        <w:lang w:val="cs-CZ" w:eastAsia="cs-CZ" w:bidi="cs-CZ"/>
      </w:rPr>
    </w:lvl>
    <w:lvl w:ilvl="5">
      <w:start w:val="0"/>
      <w:numFmt w:val="bullet"/>
      <w:lvlText w:val="•"/>
      <w:lvlJc w:val="left"/>
      <w:pPr>
        <w:ind w:left="4995" w:hanging="435"/>
      </w:pPr>
      <w:rPr>
        <w:rFonts w:hint="default"/>
        <w:lang w:val="cs-CZ" w:eastAsia="cs-CZ" w:bidi="cs-CZ"/>
      </w:rPr>
    </w:lvl>
    <w:lvl w:ilvl="6">
      <w:start w:val="0"/>
      <w:numFmt w:val="bullet"/>
      <w:lvlText w:val="•"/>
      <w:lvlJc w:val="left"/>
      <w:pPr>
        <w:ind w:left="5882" w:hanging="435"/>
      </w:pPr>
      <w:rPr>
        <w:rFonts w:hint="default"/>
        <w:lang w:val="cs-CZ" w:eastAsia="cs-CZ" w:bidi="cs-CZ"/>
      </w:rPr>
    </w:lvl>
    <w:lvl w:ilvl="7">
      <w:start w:val="0"/>
      <w:numFmt w:val="bullet"/>
      <w:lvlText w:val="•"/>
      <w:lvlJc w:val="left"/>
      <w:pPr>
        <w:ind w:left="6769" w:hanging="435"/>
      </w:pPr>
      <w:rPr>
        <w:rFonts w:hint="default"/>
        <w:lang w:val="cs-CZ" w:eastAsia="cs-CZ" w:bidi="cs-CZ"/>
      </w:rPr>
    </w:lvl>
    <w:lvl w:ilvl="8">
      <w:start w:val="0"/>
      <w:numFmt w:val="bullet"/>
      <w:lvlText w:val="•"/>
      <w:lvlJc w:val="left"/>
      <w:pPr>
        <w:ind w:left="7656" w:hanging="435"/>
      </w:pPr>
      <w:rPr>
        <w:rFonts w:hint="default"/>
        <w:lang w:val="cs-CZ" w:eastAsia="cs-CZ" w:bidi="cs-CZ"/>
      </w:rPr>
    </w:lvl>
  </w:abstractNum>
  <w:abstractNum w:abstractNumId="0">
    <w:multiLevelType w:val="hybridMultilevel"/>
    <w:lvl w:ilvl="0">
      <w:start w:val="1"/>
      <w:numFmt w:val="decimal"/>
      <w:lvlText w:val="(%1)"/>
      <w:lvlJc w:val="left"/>
      <w:pPr>
        <w:ind w:left="116" w:hanging="341"/>
        <w:jc w:val="left"/>
      </w:pPr>
      <w:rPr>
        <w:rFonts w:hint="default" w:ascii="Times New Roman" w:hAnsi="Times New Roman" w:eastAsia="Times New Roman" w:cs="Times New Roman"/>
        <w:spacing w:val="-30"/>
        <w:w w:val="99"/>
        <w:sz w:val="24"/>
        <w:szCs w:val="24"/>
        <w:lang w:val="cs-CZ" w:eastAsia="cs-CZ" w:bidi="cs-CZ"/>
      </w:rPr>
    </w:lvl>
    <w:lvl w:ilvl="1">
      <w:start w:val="0"/>
      <w:numFmt w:val="bullet"/>
      <w:lvlText w:val="•"/>
      <w:lvlJc w:val="left"/>
      <w:pPr>
        <w:ind w:left="1051" w:hanging="341"/>
      </w:pPr>
      <w:rPr>
        <w:rFonts w:hint="default"/>
        <w:lang w:val="cs-CZ" w:eastAsia="cs-CZ" w:bidi="cs-CZ"/>
      </w:rPr>
    </w:lvl>
    <w:lvl w:ilvl="2">
      <w:start w:val="0"/>
      <w:numFmt w:val="bullet"/>
      <w:lvlText w:val="•"/>
      <w:lvlJc w:val="left"/>
      <w:pPr>
        <w:ind w:left="1982" w:hanging="341"/>
      </w:pPr>
      <w:rPr>
        <w:rFonts w:hint="default"/>
        <w:lang w:val="cs-CZ" w:eastAsia="cs-CZ" w:bidi="cs-CZ"/>
      </w:rPr>
    </w:lvl>
    <w:lvl w:ilvl="3">
      <w:start w:val="0"/>
      <w:numFmt w:val="bullet"/>
      <w:lvlText w:val="•"/>
      <w:lvlJc w:val="left"/>
      <w:pPr>
        <w:ind w:left="2913" w:hanging="341"/>
      </w:pPr>
      <w:rPr>
        <w:rFonts w:hint="default"/>
        <w:lang w:val="cs-CZ" w:eastAsia="cs-CZ" w:bidi="cs-CZ"/>
      </w:rPr>
    </w:lvl>
    <w:lvl w:ilvl="4">
      <w:start w:val="0"/>
      <w:numFmt w:val="bullet"/>
      <w:lvlText w:val="•"/>
      <w:lvlJc w:val="left"/>
      <w:pPr>
        <w:ind w:left="3844" w:hanging="341"/>
      </w:pPr>
      <w:rPr>
        <w:rFonts w:hint="default"/>
        <w:lang w:val="cs-CZ" w:eastAsia="cs-CZ" w:bidi="cs-CZ"/>
      </w:rPr>
    </w:lvl>
    <w:lvl w:ilvl="5">
      <w:start w:val="0"/>
      <w:numFmt w:val="bullet"/>
      <w:lvlText w:val="•"/>
      <w:lvlJc w:val="left"/>
      <w:pPr>
        <w:ind w:left="4775" w:hanging="341"/>
      </w:pPr>
      <w:rPr>
        <w:rFonts w:hint="default"/>
        <w:lang w:val="cs-CZ" w:eastAsia="cs-CZ" w:bidi="cs-CZ"/>
      </w:rPr>
    </w:lvl>
    <w:lvl w:ilvl="6">
      <w:start w:val="0"/>
      <w:numFmt w:val="bullet"/>
      <w:lvlText w:val="•"/>
      <w:lvlJc w:val="left"/>
      <w:pPr>
        <w:ind w:left="5706" w:hanging="341"/>
      </w:pPr>
      <w:rPr>
        <w:rFonts w:hint="default"/>
        <w:lang w:val="cs-CZ" w:eastAsia="cs-CZ" w:bidi="cs-CZ"/>
      </w:rPr>
    </w:lvl>
    <w:lvl w:ilvl="7">
      <w:start w:val="0"/>
      <w:numFmt w:val="bullet"/>
      <w:lvlText w:val="•"/>
      <w:lvlJc w:val="left"/>
      <w:pPr>
        <w:ind w:left="6637" w:hanging="341"/>
      </w:pPr>
      <w:rPr>
        <w:rFonts w:hint="default"/>
        <w:lang w:val="cs-CZ" w:eastAsia="cs-CZ" w:bidi="cs-CZ"/>
      </w:rPr>
    </w:lvl>
    <w:lvl w:ilvl="8">
      <w:start w:val="0"/>
      <w:numFmt w:val="bullet"/>
      <w:lvlText w:val="•"/>
      <w:lvlJc w:val="left"/>
      <w:pPr>
        <w:ind w:left="7568" w:hanging="341"/>
      </w:pPr>
      <w:rPr>
        <w:rFonts w:hint="default"/>
        <w:lang w:val="cs-CZ" w:eastAsia="cs-CZ" w:bidi="cs-CZ"/>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cs-CZ" w:eastAsia="cs-CZ" w:bidi="cs-CZ"/>
    </w:rPr>
  </w:style>
  <w:style w:styleId="BodyText" w:type="paragraph">
    <w:name w:val="Body Text"/>
    <w:basedOn w:val="Normal"/>
    <w:uiPriority w:val="1"/>
    <w:qFormat/>
    <w:pPr/>
    <w:rPr>
      <w:rFonts w:ascii="Times New Roman" w:hAnsi="Times New Roman" w:eastAsia="Times New Roman" w:cs="Times New Roman"/>
      <w:sz w:val="24"/>
      <w:szCs w:val="24"/>
      <w:lang w:val="cs-CZ" w:eastAsia="cs-CZ" w:bidi="cs-CZ"/>
    </w:rPr>
  </w:style>
  <w:style w:styleId="Heading1" w:type="paragraph">
    <w:name w:val="Heading 1"/>
    <w:basedOn w:val="Normal"/>
    <w:uiPriority w:val="1"/>
    <w:qFormat/>
    <w:pPr>
      <w:ind w:left="370"/>
      <w:jc w:val="center"/>
      <w:outlineLvl w:val="1"/>
    </w:pPr>
    <w:rPr>
      <w:rFonts w:ascii="Times New Roman" w:hAnsi="Times New Roman" w:eastAsia="Times New Roman" w:cs="Times New Roman"/>
      <w:b/>
      <w:bCs/>
      <w:sz w:val="24"/>
      <w:szCs w:val="24"/>
      <w:lang w:val="cs-CZ" w:eastAsia="cs-CZ" w:bidi="cs-CZ"/>
    </w:rPr>
  </w:style>
  <w:style w:styleId="ListParagraph" w:type="paragraph">
    <w:name w:val="List Paragraph"/>
    <w:basedOn w:val="Normal"/>
    <w:uiPriority w:val="1"/>
    <w:qFormat/>
    <w:pPr>
      <w:ind w:left="116" w:firstLine="707"/>
    </w:pPr>
    <w:rPr>
      <w:rFonts w:ascii="Times New Roman" w:hAnsi="Times New Roman" w:eastAsia="Times New Roman" w:cs="Times New Roman"/>
      <w:lang w:val="cs-CZ" w:eastAsia="cs-CZ" w:bidi="cs-CZ"/>
    </w:rPr>
  </w:style>
  <w:style w:styleId="TableParagraph" w:type="paragraph">
    <w:name w:val="Table Paragraph"/>
    <w:basedOn w:val="Normal"/>
    <w:uiPriority w:val="1"/>
    <w:qFormat/>
    <w:pPr/>
    <w:rPr>
      <w:lang w:val="cs-CZ" w:eastAsia="cs-CZ" w:bidi="cs-CZ"/>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Bára Křižanová</dc:creator>
  <dcterms:created xsi:type="dcterms:W3CDTF">2025-04-08T08:29:21Z</dcterms:created>
  <dcterms:modified xsi:type="dcterms:W3CDTF">2025-04-08T08:29:21Z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2025-04-08T00:00:00Z</vt:filetime>
  </property>
  <property fmtid="{D5CDD505-2E9C-101B-9397-08002B2CF9AE}" pid="3" name="Creator">
    <vt:lpwstr>Microsoft® Word 2016</vt:lpwstr>
  </property>
  <property fmtid="{D5CDD505-2E9C-101B-9397-08002B2CF9AE}" pid="4" name="LastSaved">
    <vt:filetime>2025-04-08T00:00:00Z</vt:filetime>
  </property>
</Properties>
</file>