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34" w:rsidRPr="00510934" w:rsidRDefault="00510934" w:rsidP="00510934">
      <w:pPr>
        <w:spacing w:line="240" w:lineRule="auto"/>
        <w:jc w:val="center"/>
        <w:rPr>
          <w:b/>
          <w:sz w:val="28"/>
          <w:szCs w:val="28"/>
        </w:rPr>
      </w:pPr>
      <w:r w:rsidRPr="00510934">
        <w:rPr>
          <w:b/>
          <w:sz w:val="28"/>
          <w:szCs w:val="28"/>
        </w:rPr>
        <w:t>Město Horní Blatná</w:t>
      </w:r>
    </w:p>
    <w:p w:rsidR="00510934" w:rsidRPr="00510934" w:rsidRDefault="00510934" w:rsidP="00510934">
      <w:pPr>
        <w:spacing w:line="240" w:lineRule="auto"/>
        <w:jc w:val="center"/>
        <w:rPr>
          <w:b/>
          <w:sz w:val="28"/>
          <w:szCs w:val="28"/>
        </w:rPr>
      </w:pPr>
      <w:r w:rsidRPr="00510934">
        <w:rPr>
          <w:b/>
          <w:sz w:val="28"/>
          <w:szCs w:val="28"/>
        </w:rPr>
        <w:t>Zastupitelstvo města Horní Blatná</w:t>
      </w:r>
    </w:p>
    <w:p w:rsidR="00510934" w:rsidRPr="00510934" w:rsidRDefault="00510934" w:rsidP="00510934">
      <w:pPr>
        <w:spacing w:line="240" w:lineRule="auto"/>
        <w:jc w:val="center"/>
        <w:rPr>
          <w:b/>
          <w:sz w:val="28"/>
          <w:szCs w:val="28"/>
        </w:rPr>
      </w:pPr>
      <w:r w:rsidRPr="00510934">
        <w:rPr>
          <w:b/>
          <w:sz w:val="28"/>
          <w:szCs w:val="28"/>
        </w:rPr>
        <w:t>Obecně závazná vyhláška města Horní Blatná</w:t>
      </w:r>
    </w:p>
    <w:p w:rsidR="00510934" w:rsidRPr="00510934" w:rsidRDefault="00510934" w:rsidP="00510934">
      <w:pPr>
        <w:spacing w:line="240" w:lineRule="auto"/>
        <w:jc w:val="center"/>
        <w:rPr>
          <w:b/>
          <w:sz w:val="28"/>
          <w:szCs w:val="28"/>
        </w:rPr>
      </w:pPr>
      <w:r w:rsidRPr="00510934">
        <w:rPr>
          <w:b/>
          <w:sz w:val="28"/>
          <w:szCs w:val="28"/>
        </w:rPr>
        <w:t>o stanovení místních koeficientů daně z nemovitých věcí</w:t>
      </w:r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 xml:space="preserve">Zastupitelstvo města Horní Blatná se na svém zasedání dne </w:t>
      </w:r>
      <w:proofErr w:type="gramStart"/>
      <w:r w:rsidR="007257D9">
        <w:rPr>
          <w:sz w:val="24"/>
          <w:szCs w:val="24"/>
        </w:rPr>
        <w:t>24.07.2024</w:t>
      </w:r>
      <w:proofErr w:type="gramEnd"/>
      <w:r w:rsidR="007257D9">
        <w:rPr>
          <w:sz w:val="24"/>
          <w:szCs w:val="24"/>
        </w:rPr>
        <w:t xml:space="preserve"> </w:t>
      </w:r>
      <w:bookmarkStart w:id="0" w:name="_GoBack"/>
      <w:bookmarkEnd w:id="0"/>
      <w:r w:rsidRPr="00510934">
        <w:rPr>
          <w:sz w:val="24"/>
          <w:szCs w:val="24"/>
        </w:rPr>
        <w:t>usneslo vydat na základě 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Čl. 1</w:t>
      </w:r>
    </w:p>
    <w:p w:rsid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Místní koeficient pro město</w:t>
      </w:r>
    </w:p>
    <w:p w:rsidR="00510934" w:rsidRPr="00510934" w:rsidRDefault="00510934" w:rsidP="00510934">
      <w:pPr>
        <w:jc w:val="both"/>
        <w:rPr>
          <w:sz w:val="24"/>
          <w:szCs w:val="24"/>
        </w:rPr>
      </w:pPr>
      <w:r w:rsidRPr="00510934">
        <w:rPr>
          <w:sz w:val="24"/>
          <w:szCs w:val="24"/>
        </w:rPr>
        <w:t>(1) Město Horní Blatná stanovuje místní koeficient pro město ve výši 2,0. Tento místní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koeficient se vztahuje na všechny nemovité věci na území celého města s</w:t>
      </w:r>
      <w:r>
        <w:rPr>
          <w:sz w:val="24"/>
          <w:szCs w:val="24"/>
        </w:rPr>
        <w:t> </w:t>
      </w:r>
      <w:r w:rsidRPr="00510934">
        <w:rPr>
          <w:sz w:val="24"/>
          <w:szCs w:val="24"/>
        </w:rPr>
        <w:t>výjimkou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pozemků zařazených do skupiny vybraných zemědělských pozemků, trvalých travních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 xml:space="preserve">porostů nebo nevyužitelných ostatních </w:t>
      </w:r>
      <w:proofErr w:type="gramStart"/>
      <w:r w:rsidRPr="00510934">
        <w:rPr>
          <w:sz w:val="24"/>
          <w:szCs w:val="24"/>
        </w:rPr>
        <w:t>ploch.1</w:t>
      </w:r>
      <w:proofErr w:type="gramEnd"/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>(2) Pokud se na nemovitou věc vztahuje vedle místního koeficientu pro město také jiný místní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 xml:space="preserve">koeficient, místní koeficient pro město se na ni </w:t>
      </w:r>
      <w:proofErr w:type="gramStart"/>
      <w:r w:rsidRPr="00510934">
        <w:rPr>
          <w:sz w:val="24"/>
          <w:szCs w:val="24"/>
        </w:rPr>
        <w:t>nepoužije.2</w:t>
      </w:r>
      <w:proofErr w:type="gramEnd"/>
    </w:p>
    <w:p w:rsidR="00510934" w:rsidRP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Čl. 2</w:t>
      </w:r>
    </w:p>
    <w:p w:rsidR="00510934" w:rsidRP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Místní koeficient pro jednotlivé skupiny nemovitých věcí</w:t>
      </w:r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>(1) Město Horní Blatná stanovuje místní koeficient pro jednotlivé skupiny staveb a jednotek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dle § 10a odst. 1 zákona o dani z nemovitých věcí, a to v následující výši:</w:t>
      </w:r>
    </w:p>
    <w:p w:rsidR="00510934" w:rsidRPr="00510934" w:rsidRDefault="00510934" w:rsidP="00510934">
      <w:pPr>
        <w:spacing w:line="240" w:lineRule="auto"/>
        <w:ind w:left="708" w:firstLine="708"/>
        <w:jc w:val="both"/>
        <w:rPr>
          <w:sz w:val="24"/>
          <w:szCs w:val="24"/>
        </w:rPr>
      </w:pPr>
      <w:r w:rsidRPr="00510934">
        <w:rPr>
          <w:sz w:val="24"/>
          <w:szCs w:val="24"/>
        </w:rPr>
        <w:t xml:space="preserve">rekreační budovy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10934">
        <w:rPr>
          <w:sz w:val="24"/>
          <w:szCs w:val="24"/>
        </w:rPr>
        <w:t>koeficient 3</w:t>
      </w:r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 xml:space="preserve">(2) Místní koeficient pro jednotlivou skupinu nemovitých věcí se vztahuje na všechny </w:t>
      </w:r>
      <w:r>
        <w:rPr>
          <w:sz w:val="24"/>
          <w:szCs w:val="24"/>
        </w:rPr>
        <w:t>n</w:t>
      </w:r>
      <w:r w:rsidRPr="00510934">
        <w:rPr>
          <w:sz w:val="24"/>
          <w:szCs w:val="24"/>
        </w:rPr>
        <w:t>emovité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 xml:space="preserve">věci dané skupiny nemovitých věcí na území celého </w:t>
      </w:r>
      <w:proofErr w:type="gramStart"/>
      <w:r w:rsidRPr="00510934">
        <w:rPr>
          <w:sz w:val="24"/>
          <w:szCs w:val="24"/>
        </w:rPr>
        <w:t>města.3</w:t>
      </w:r>
      <w:proofErr w:type="gramEnd"/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>(3) Pokud se na nemovitou věc vztahuje vedle místního koeficientu pro jednotlivou skupinu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nemovitých věcí také místní koeficient pro jednotlivé katastrální území, použije se vyšší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ni</w:t>
      </w:r>
      <w:r w:rsidRPr="00510934">
        <w:rPr>
          <w:sz w:val="24"/>
          <w:szCs w:val="24"/>
        </w:rPr>
        <w:t>ch.4</w:t>
      </w:r>
      <w:proofErr w:type="gramEnd"/>
    </w:p>
    <w:p w:rsidR="00510934" w:rsidRP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Čl. 3</w:t>
      </w:r>
    </w:p>
    <w:p w:rsidR="00510934" w:rsidRPr="00510934" w:rsidRDefault="00510934" w:rsidP="00510934">
      <w:pPr>
        <w:jc w:val="center"/>
        <w:rPr>
          <w:b/>
          <w:sz w:val="24"/>
          <w:szCs w:val="24"/>
        </w:rPr>
      </w:pPr>
      <w:r w:rsidRPr="00510934">
        <w:rPr>
          <w:b/>
          <w:sz w:val="24"/>
          <w:szCs w:val="24"/>
        </w:rPr>
        <w:t>Závěrečná ustanovení</w:t>
      </w:r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>(1) Zrušuje se obecně závazná vyhláška č. 2/2022, o stanovení místního koeficientu pro</w:t>
      </w:r>
      <w:r>
        <w:rPr>
          <w:sz w:val="24"/>
          <w:szCs w:val="24"/>
        </w:rPr>
        <w:t xml:space="preserve"> </w:t>
      </w:r>
      <w:r w:rsidRPr="00510934">
        <w:rPr>
          <w:sz w:val="24"/>
          <w:szCs w:val="24"/>
        </w:rPr>
        <w:t>výpočet daně z nemovitých věcí, ze dne 1. 8. 2022.</w:t>
      </w:r>
    </w:p>
    <w:p w:rsidR="00510934" w:rsidRPr="00510934" w:rsidRDefault="00510934" w:rsidP="00510934">
      <w:pPr>
        <w:spacing w:line="240" w:lineRule="auto"/>
        <w:jc w:val="both"/>
        <w:rPr>
          <w:sz w:val="24"/>
          <w:szCs w:val="24"/>
        </w:rPr>
      </w:pPr>
      <w:r w:rsidRPr="00510934">
        <w:rPr>
          <w:sz w:val="24"/>
          <w:szCs w:val="24"/>
        </w:rPr>
        <w:t>(2) Tato obecně závazná vyhláška nabývá účinnosti dnem 1. ledna 2025.</w:t>
      </w:r>
    </w:p>
    <w:p w:rsidR="00BE2540" w:rsidRDefault="00BE2540" w:rsidP="00510934">
      <w:pPr>
        <w:rPr>
          <w:sz w:val="24"/>
          <w:szCs w:val="24"/>
        </w:rPr>
      </w:pPr>
    </w:p>
    <w:p w:rsidR="00BE2540" w:rsidRDefault="00BE2540" w:rsidP="00510934">
      <w:pPr>
        <w:rPr>
          <w:sz w:val="24"/>
          <w:szCs w:val="24"/>
        </w:rPr>
      </w:pPr>
    </w:p>
    <w:p w:rsidR="00BE2540" w:rsidRDefault="00BE2540" w:rsidP="00510934">
      <w:pPr>
        <w:rPr>
          <w:sz w:val="24"/>
          <w:szCs w:val="24"/>
        </w:rPr>
      </w:pPr>
    </w:p>
    <w:p w:rsidR="00510934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 xml:space="preserve">....................................... </w:t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Pr="00510934">
        <w:rPr>
          <w:sz w:val="24"/>
          <w:szCs w:val="24"/>
        </w:rPr>
        <w:t>………………………………</w:t>
      </w:r>
    </w:p>
    <w:p w:rsidR="00510934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 xml:space="preserve">Radka Lehnertová </w:t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Pr="00510934">
        <w:rPr>
          <w:sz w:val="24"/>
          <w:szCs w:val="24"/>
        </w:rPr>
        <w:t>Robert Petro</w:t>
      </w:r>
    </w:p>
    <w:p w:rsid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 xml:space="preserve">místostarostka </w:t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="00BE2540">
        <w:rPr>
          <w:sz w:val="24"/>
          <w:szCs w:val="24"/>
        </w:rPr>
        <w:tab/>
      </w:r>
      <w:r w:rsidRPr="00510934">
        <w:rPr>
          <w:sz w:val="24"/>
          <w:szCs w:val="24"/>
        </w:rPr>
        <w:t>starosta</w:t>
      </w:r>
    </w:p>
    <w:p w:rsidR="00BE2540" w:rsidRDefault="00BE2540" w:rsidP="00510934">
      <w:pPr>
        <w:rPr>
          <w:sz w:val="24"/>
          <w:szCs w:val="24"/>
        </w:rPr>
      </w:pPr>
    </w:p>
    <w:p w:rsidR="00BE2540" w:rsidRDefault="00BE2540" w:rsidP="00510934">
      <w:pPr>
        <w:rPr>
          <w:sz w:val="24"/>
          <w:szCs w:val="24"/>
        </w:rPr>
      </w:pPr>
    </w:p>
    <w:p w:rsidR="00BE2540" w:rsidRDefault="00BE2540" w:rsidP="00510934">
      <w:pPr>
        <w:rPr>
          <w:sz w:val="24"/>
          <w:szCs w:val="24"/>
        </w:rPr>
      </w:pPr>
    </w:p>
    <w:p w:rsidR="00BE2540" w:rsidRDefault="00BE2540" w:rsidP="00510934">
      <w:pPr>
        <w:rPr>
          <w:sz w:val="24"/>
          <w:szCs w:val="24"/>
        </w:rPr>
      </w:pPr>
    </w:p>
    <w:p w:rsidR="00BE2540" w:rsidRPr="00510934" w:rsidRDefault="00BE2540" w:rsidP="00510934">
      <w:pPr>
        <w:rPr>
          <w:sz w:val="24"/>
          <w:szCs w:val="24"/>
        </w:rPr>
      </w:pPr>
    </w:p>
    <w:p w:rsidR="00510934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>1 § 12ab odst. 1 a 6 zákona o dani z nemovitých věcí.</w:t>
      </w:r>
    </w:p>
    <w:p w:rsidR="00510934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>2 § 12 odst. 5 zákona o dani z nemovitých věcí.</w:t>
      </w:r>
    </w:p>
    <w:p w:rsidR="00510934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>3 § 12ab odst. 4 zákona o dani z nemovitých věcí.</w:t>
      </w:r>
    </w:p>
    <w:p w:rsidR="00FD4237" w:rsidRPr="00510934" w:rsidRDefault="00510934" w:rsidP="00510934">
      <w:pPr>
        <w:rPr>
          <w:sz w:val="24"/>
          <w:szCs w:val="24"/>
        </w:rPr>
      </w:pPr>
      <w:r w:rsidRPr="00510934">
        <w:rPr>
          <w:sz w:val="24"/>
          <w:szCs w:val="24"/>
        </w:rPr>
        <w:t>4 § 12 odst. 7 zákona o dani z nemovitých věcí.</w:t>
      </w:r>
    </w:p>
    <w:sectPr w:rsidR="00FD4237" w:rsidRPr="0051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34"/>
    <w:rsid w:val="00510934"/>
    <w:rsid w:val="007257D9"/>
    <w:rsid w:val="00B244A4"/>
    <w:rsid w:val="00BE2540"/>
    <w:rsid w:val="00FD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2873F-8064-4439-8855-3FC89216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2024-07-17T08:53:00Z</dcterms:created>
  <dcterms:modified xsi:type="dcterms:W3CDTF">2024-07-17T08:53:00Z</dcterms:modified>
</cp:coreProperties>
</file>