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C0D8" w14:textId="77777777" w:rsidR="006639D0" w:rsidRDefault="006639D0"/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14:paraId="6AA11DB5" w14:textId="77777777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14:paraId="329404D3" w14:textId="77777777" w:rsidTr="00B521BF">
              <w:trPr>
                <w:trHeight w:val="464"/>
              </w:trPr>
              <w:tc>
                <w:tcPr>
                  <w:tcW w:w="0" w:type="auto"/>
                </w:tcPr>
                <w:p w14:paraId="36D20845" w14:textId="77777777"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>
                          <w:default w:val="MVCRX07DRONR"/>
                        </w:textInput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Pr="007E1E0D">
                    <w:rPr>
                      <w:rFonts w:ascii="CKGinis" w:hAnsi="CKGinis"/>
                      <w:bCs/>
                      <w:noProof/>
                      <w:sz w:val="72"/>
                    </w:rPr>
                    <w:t>MVCRX07DRONR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14:paraId="0DE08856" w14:textId="77777777" w:rsidTr="00B521BF">
              <w:trPr>
                <w:trHeight w:val="114"/>
              </w:trPr>
              <w:tc>
                <w:tcPr>
                  <w:tcW w:w="0" w:type="auto"/>
                </w:tcPr>
                <w:p w14:paraId="7389F09C" w14:textId="77777777"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>
                          <w:default w:val="MVCRX07DRONR"/>
                        </w:textInput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Pr="007E1E0D">
                    <w:rPr>
                      <w:rFonts w:ascii="Arial" w:hAnsi="Arial"/>
                      <w:bCs/>
                      <w:noProof/>
                      <w:sz w:val="20"/>
                      <w:szCs w:val="20"/>
                    </w:rPr>
                    <w:t>MVCRX07DRONR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14:paraId="61E36515" w14:textId="77777777" w:rsidTr="00B521BF">
              <w:trPr>
                <w:trHeight w:val="122"/>
              </w:trPr>
              <w:tc>
                <w:tcPr>
                  <w:tcW w:w="0" w:type="auto"/>
                </w:tcPr>
                <w:p w14:paraId="79DB01DD" w14:textId="77777777"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14:paraId="6BA9C2C0" w14:textId="77777777" w:rsidR="00B521BF" w:rsidRDefault="00B521BF" w:rsidP="006639D0"/>
        </w:tc>
      </w:tr>
    </w:tbl>
    <w:bookmarkStart w:id="2" w:name="orj_ofic_nazev"/>
    <w:p w14:paraId="41FDA090" w14:textId="77777777" w:rsidR="0042290C" w:rsidRPr="008321E0" w:rsidRDefault="00DA5100" w:rsidP="0042290C">
      <w:pPr>
        <w:pStyle w:val="Text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>
              <w:default w:val="odbor veřejné správy, dozoru a kontroly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odbor veřejné správy, dozoru a kontroly</w:t>
      </w:r>
      <w:r>
        <w:rPr>
          <w:bCs/>
        </w:rPr>
        <w:fldChar w:fldCharType="end"/>
      </w:r>
      <w:bookmarkEnd w:id="2"/>
    </w:p>
    <w:bookmarkStart w:id="3" w:name="isu_ob_adr4"/>
    <w:p w14:paraId="3A059F29" w14:textId="77777777" w:rsidR="0042290C" w:rsidRDefault="0042290C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>
              <w:default w:val="náměstí Hrdinů 1634/3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náměstí Hrdinů 1634/3</w:t>
      </w:r>
      <w:r>
        <w:rPr>
          <w:bCs/>
        </w:rPr>
        <w:fldChar w:fldCharType="end"/>
      </w:r>
      <w:bookmarkEnd w:id="3"/>
    </w:p>
    <w:bookmarkStart w:id="4" w:name="isu_ob_adr5"/>
    <w:p w14:paraId="04B7C27D" w14:textId="77777777" w:rsidR="0042290C" w:rsidRDefault="00AB1A89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>
              <w:default w:val="140 21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>
              <w:default w:val="Praha 4"/>
            </w:textInput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42290C">
        <w:rPr>
          <w:bCs/>
          <w:noProof/>
        </w:rPr>
        <w:t>Praha 4</w:t>
      </w:r>
      <w:r w:rsidR="0042290C">
        <w:rPr>
          <w:bCs/>
        </w:rPr>
        <w:fldChar w:fldCharType="end"/>
      </w:r>
      <w:bookmarkEnd w:id="4"/>
    </w:p>
    <w:p w14:paraId="18ACD9AE" w14:textId="77777777" w:rsidR="00774381" w:rsidRDefault="00774381" w:rsidP="008321E0">
      <w:pPr>
        <w:pStyle w:val="Text"/>
      </w:pPr>
    </w:p>
    <w:p w14:paraId="3A279864" w14:textId="2E3795A0" w:rsidR="00CD4782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5" w:name="ssl_akt_znacka"/>
      <w:r w:rsidR="0042290C">
        <w:fldChar w:fldCharType="begin">
          <w:ffData>
            <w:name w:val="ssl_akt_znacka"/>
            <w:enabled w:val="0"/>
            <w:calcOnExit w:val="0"/>
            <w:textInput>
              <w:default w:val="MV-181304-17/ODK-2021"/>
            </w:textInput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42290C">
        <w:rPr>
          <w:noProof/>
        </w:rPr>
        <w:t>MV-181304-17/ODK-2021</w:t>
      </w:r>
      <w:r w:rsidR="0042290C">
        <w:fldChar w:fldCharType="end"/>
      </w:r>
      <w:bookmarkEnd w:id="5"/>
    </w:p>
    <w:p w14:paraId="2573DE6A" w14:textId="77777777" w:rsidR="00F47B28" w:rsidRPr="008321E0" w:rsidRDefault="00F47B28" w:rsidP="008321E0">
      <w:pPr>
        <w:pStyle w:val="Text"/>
      </w:pPr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 w14:paraId="611486DF" w14:textId="77777777">
        <w:trPr>
          <w:trHeight w:val="96"/>
        </w:trPr>
        <w:tc>
          <w:tcPr>
            <w:tcW w:w="3600" w:type="dxa"/>
          </w:tcPr>
          <w:bookmarkStart w:id="6" w:name="isu_ob_adr7"/>
          <w:bookmarkStart w:id="7" w:name="ssl_dat_pod"/>
          <w:p w14:paraId="1C0E064D" w14:textId="5FF88A49" w:rsidR="00774381" w:rsidRPr="008321E0" w:rsidRDefault="00581EF1" w:rsidP="008321E0">
            <w:pPr>
              <w:pStyle w:val="Text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>
                    <w:default w:val="Praha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Praha</w:t>
            </w:r>
            <w:r>
              <w:rPr>
                <w:bCs/>
              </w:rPr>
              <w:fldChar w:fldCharType="end"/>
            </w:r>
            <w:bookmarkEnd w:id="6"/>
            <w:r w:rsidR="0003781F">
              <w:t xml:space="preserve"> </w:t>
            </w:r>
            <w:bookmarkEnd w:id="7"/>
            <w:r w:rsidR="00982EB8">
              <w:fldChar w:fldCharType="begin">
                <w:ffData>
                  <w:name w:val="ssl_dat_podt"/>
                  <w:enabled w:val="0"/>
                  <w:calcOnExit w:val="0"/>
                  <w:textInput>
                    <w:type w:val="currentDate"/>
                    <w:format w:val="d. MMMM yyyy"/>
                  </w:textInput>
                </w:ffData>
              </w:fldChar>
            </w:r>
            <w:bookmarkStart w:id="8" w:name="ssl_dat_podt"/>
            <w:r w:rsidR="00982EB8">
              <w:instrText xml:space="preserve"> FORMTEXT </w:instrText>
            </w:r>
            <w:r w:rsidR="00982EB8">
              <w:fldChar w:fldCharType="begin"/>
            </w:r>
            <w:r w:rsidR="00982EB8">
              <w:instrText xml:space="preserve"> DATE \@ "d. MMMM yyyy" </w:instrText>
            </w:r>
            <w:r w:rsidR="00982EB8">
              <w:fldChar w:fldCharType="separate"/>
            </w:r>
            <w:r w:rsidR="00293A68">
              <w:rPr>
                <w:noProof/>
              </w:rPr>
              <w:instrText>18. července 2023</w:instrText>
            </w:r>
            <w:r w:rsidR="00982EB8">
              <w:fldChar w:fldCharType="end"/>
            </w:r>
            <w:r w:rsidR="00982EB8">
              <w:fldChar w:fldCharType="separate"/>
            </w:r>
            <w:r w:rsidR="00982EB8">
              <w:rPr>
                <w:noProof/>
              </w:rPr>
              <w:t>17. července 2023</w:t>
            </w:r>
            <w:r w:rsidR="00982EB8">
              <w:fldChar w:fldCharType="end"/>
            </w:r>
            <w:bookmarkEnd w:id="8"/>
          </w:p>
        </w:tc>
      </w:tr>
    </w:tbl>
    <w:p w14:paraId="52D17348" w14:textId="77777777" w:rsidR="00F47B28" w:rsidRDefault="00F47B28" w:rsidP="0042290C">
      <w:pPr>
        <w:pStyle w:val="Text"/>
        <w:rPr>
          <w:bCs/>
        </w:rPr>
      </w:pPr>
      <w:bookmarkStart w:id="9" w:name="ssl_ob_adr3"/>
    </w:p>
    <w:bookmarkEnd w:id="9"/>
    <w:p w14:paraId="1F2FA4F6" w14:textId="6B79C7D7" w:rsidR="0042290C" w:rsidRDefault="0042290C" w:rsidP="0042290C">
      <w:pPr>
        <w:pStyle w:val="Text"/>
        <w:rPr>
          <w:bCs/>
        </w:rPr>
      </w:pPr>
    </w:p>
    <w:p w14:paraId="01D8266C" w14:textId="77777777" w:rsidR="00774381" w:rsidRPr="008321E0" w:rsidRDefault="00774381" w:rsidP="008321E0">
      <w:pPr>
        <w:pStyle w:val="Text"/>
      </w:pPr>
    </w:p>
    <w:p w14:paraId="5A6133F8" w14:textId="77777777" w:rsidR="00982EB8" w:rsidRDefault="00982EB8" w:rsidP="00982EB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Ministerstvo vnitra, odbor veřejné správy, dozoru a kontroly, jako správní orgán příslušný dle § 123 odst. 1 zákona č. 128/2000 Sb., o obcích (obecní zřízení), ve znění pozdějších předpisů, ve správním řízení s účastníkem řízení, kterým je obec Holoubkov, se sídlem Holoubkov 48, 338 01 </w:t>
      </w:r>
      <w:r w:rsidRPr="00BB0D56">
        <w:rPr>
          <w:rFonts w:ascii="Arial" w:hAnsi="Arial" w:cs="Arial"/>
        </w:rPr>
        <w:t xml:space="preserve">Holoubkov, ve věci pozastavení účinnosti čl. 7 odst. 4 </w:t>
      </w:r>
      <w:r w:rsidRPr="00BB0D56">
        <w:rPr>
          <w:rFonts w:ascii="Arial" w:hAnsi="Arial" w:cs="Arial"/>
          <w:spacing w:val="-3"/>
        </w:rPr>
        <w:t xml:space="preserve">obecně závazné vyhlášky obce Holoubkov </w:t>
      </w:r>
      <w:r w:rsidRPr="00BB0D56">
        <w:rPr>
          <w:rFonts w:ascii="Arial" w:hAnsi="Arial" w:cs="Arial"/>
        </w:rPr>
        <w:t>č. 2/2021, o místním poplatku za obecní systém odpadového hospodářství</w:t>
      </w:r>
      <w:r>
        <w:rPr>
          <w:rFonts w:ascii="Arial" w:hAnsi="Arial" w:cs="Arial"/>
        </w:rPr>
        <w:t>,</w:t>
      </w:r>
      <w:r w:rsidRPr="00BB0D56">
        <w:rPr>
          <w:rFonts w:ascii="Arial" w:hAnsi="Arial" w:cs="Arial"/>
        </w:rPr>
        <w:t xml:space="preserve"> ve znění obecně závazné vyhlášky č.</w:t>
      </w:r>
      <w:r>
        <w:rPr>
          <w:rFonts w:ascii="Arial" w:hAnsi="Arial" w:cs="Arial"/>
        </w:rPr>
        <w:t> </w:t>
      </w:r>
      <w:r w:rsidRPr="00BB0D56">
        <w:rPr>
          <w:rFonts w:ascii="Arial" w:hAnsi="Arial" w:cs="Arial"/>
        </w:rPr>
        <w:t>1/2022, kterou se mění obecně závazná vyhláška č. 2/2021, o místním poplatku za obecní systém odpadového hospodářství, vydává toto</w:t>
      </w:r>
    </w:p>
    <w:p w14:paraId="5E139665" w14:textId="77777777" w:rsidR="00982EB8" w:rsidRDefault="00982EB8" w:rsidP="00982EB8">
      <w:pPr>
        <w:spacing w:line="300" w:lineRule="exact"/>
        <w:rPr>
          <w:rFonts w:ascii="Arial" w:hAnsi="Arial" w:cs="Arial"/>
        </w:rPr>
      </w:pPr>
    </w:p>
    <w:p w14:paraId="307D90B6" w14:textId="77777777" w:rsidR="00982EB8" w:rsidRDefault="00982EB8" w:rsidP="00982EB8">
      <w:pPr>
        <w:spacing w:line="300" w:lineRule="exact"/>
        <w:rPr>
          <w:rFonts w:ascii="Arial" w:hAnsi="Arial" w:cs="Arial"/>
        </w:rPr>
      </w:pPr>
    </w:p>
    <w:p w14:paraId="5C255ECC" w14:textId="77777777" w:rsidR="00982EB8" w:rsidRDefault="00982EB8" w:rsidP="00982EB8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 O Z H O D N U T Í:</w:t>
      </w:r>
    </w:p>
    <w:p w14:paraId="20B2994B" w14:textId="77777777" w:rsidR="00982EB8" w:rsidRDefault="00982EB8" w:rsidP="00982EB8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7EAF9C46" w14:textId="77777777" w:rsidR="00982EB8" w:rsidRDefault="00982EB8" w:rsidP="00982EB8">
      <w:pPr>
        <w:spacing w:line="300" w:lineRule="exact"/>
        <w:jc w:val="both"/>
        <w:rPr>
          <w:rFonts w:ascii="Arial" w:hAnsi="Arial" w:cs="Arial"/>
        </w:rPr>
      </w:pPr>
    </w:p>
    <w:p w14:paraId="320B14F4" w14:textId="77777777" w:rsidR="00982EB8" w:rsidRPr="00BB0D56" w:rsidRDefault="00982EB8" w:rsidP="00982EB8">
      <w:pPr>
        <w:numPr>
          <w:ilvl w:val="0"/>
          <w:numId w:val="1"/>
        </w:numPr>
        <w:tabs>
          <w:tab w:val="num" w:pos="720"/>
        </w:tabs>
        <w:spacing w:after="240"/>
        <w:ind w:left="720"/>
        <w:jc w:val="both"/>
        <w:rPr>
          <w:rFonts w:ascii="Arial" w:hAnsi="Arial" w:cs="Arial"/>
        </w:rPr>
      </w:pPr>
      <w:r w:rsidRPr="00BB0D56">
        <w:rPr>
          <w:rFonts w:ascii="Arial" w:hAnsi="Arial" w:cs="Arial"/>
        </w:rPr>
        <w:t>Účinnost čl. 7 odst. 4 obecně závazné vyhlášky obce Holoubkov č. 2/2021, o</w:t>
      </w:r>
      <w:r>
        <w:rPr>
          <w:rFonts w:ascii="Arial" w:hAnsi="Arial" w:cs="Arial"/>
        </w:rPr>
        <w:t> </w:t>
      </w:r>
      <w:r w:rsidRPr="00BB0D56">
        <w:rPr>
          <w:rFonts w:ascii="Arial" w:hAnsi="Arial" w:cs="Arial"/>
        </w:rPr>
        <w:t>místním poplatku za obecní systém odpadového hospodářství</w:t>
      </w:r>
      <w:r>
        <w:rPr>
          <w:rFonts w:ascii="Arial" w:hAnsi="Arial" w:cs="Arial"/>
        </w:rPr>
        <w:t>,</w:t>
      </w:r>
      <w:r w:rsidRPr="00BB0D56">
        <w:rPr>
          <w:rFonts w:ascii="Arial" w:hAnsi="Arial" w:cs="Arial"/>
        </w:rPr>
        <w:t xml:space="preserve"> ve</w:t>
      </w:r>
      <w:r>
        <w:rPr>
          <w:rFonts w:ascii="Arial" w:hAnsi="Arial" w:cs="Arial"/>
        </w:rPr>
        <w:t> </w:t>
      </w:r>
      <w:r w:rsidRPr="00BB0D56">
        <w:rPr>
          <w:rFonts w:ascii="Arial" w:hAnsi="Arial" w:cs="Arial"/>
        </w:rPr>
        <w:t xml:space="preserve">znění obecně závazné vyhlášky č. 1/2022, kterou se mění obecně závazná vyhláška č. 2/2021, o místním poplatku za obecní systém odpadového hospodářství, </w:t>
      </w:r>
      <w:r w:rsidRPr="00BB0D56">
        <w:rPr>
          <w:rFonts w:ascii="Arial" w:hAnsi="Arial" w:cs="Arial"/>
          <w:b/>
          <w:bCs/>
        </w:rPr>
        <w:t>se</w:t>
      </w:r>
      <w:r w:rsidRPr="00BB0D56">
        <w:rPr>
          <w:rFonts w:ascii="Arial" w:hAnsi="Arial" w:cs="Arial"/>
        </w:rPr>
        <w:t xml:space="preserve"> dle § </w:t>
      </w:r>
      <w:r w:rsidRPr="00BB0D56">
        <w:rPr>
          <w:rFonts w:ascii="Arial" w:eastAsia="MS Mincho" w:hAnsi="Arial" w:cs="Arial"/>
        </w:rPr>
        <w:t xml:space="preserve">123 odst. 1 zákona </w:t>
      </w:r>
      <w:r w:rsidRPr="00BB0D56">
        <w:rPr>
          <w:rFonts w:ascii="Arial" w:hAnsi="Arial" w:cs="Arial"/>
        </w:rPr>
        <w:t>č. 128/2000 Sb., o obcích (obecní zřízení), ve znění pozdějších předpisů</w:t>
      </w:r>
      <w:r w:rsidRPr="00BB0D56">
        <w:rPr>
          <w:rFonts w:ascii="Arial" w:hAnsi="Arial" w:cs="Arial"/>
          <w:i/>
          <w:iCs/>
        </w:rPr>
        <w:t>,</w:t>
      </w:r>
      <w:r w:rsidRPr="00BB0D56">
        <w:rPr>
          <w:rFonts w:ascii="Arial" w:hAnsi="Arial" w:cs="Arial"/>
        </w:rPr>
        <w:t xml:space="preserve"> </w:t>
      </w:r>
      <w:r w:rsidRPr="00BB0D56">
        <w:rPr>
          <w:rFonts w:ascii="Arial" w:hAnsi="Arial" w:cs="Arial"/>
          <w:b/>
          <w:bCs/>
        </w:rPr>
        <w:t>pozastavuje.</w:t>
      </w:r>
    </w:p>
    <w:p w14:paraId="6E2FA14A" w14:textId="77777777" w:rsidR="00982EB8" w:rsidRDefault="00982EB8" w:rsidP="00982EB8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b/>
        </w:rPr>
      </w:pPr>
      <w:r>
        <w:rPr>
          <w:rFonts w:ascii="Arial" w:eastAsia="MS Mincho" w:hAnsi="Arial" w:cs="Arial"/>
        </w:rPr>
        <w:t xml:space="preserve">Účastníkovi řízení </w:t>
      </w:r>
      <w:r>
        <w:rPr>
          <w:rFonts w:ascii="Arial" w:eastAsia="MS Mincho" w:hAnsi="Arial" w:cs="Arial"/>
          <w:b/>
        </w:rPr>
        <w:t>se</w:t>
      </w:r>
      <w:r>
        <w:rPr>
          <w:rFonts w:ascii="Arial" w:eastAsia="MS Mincho" w:hAnsi="Arial" w:cs="Arial"/>
        </w:rPr>
        <w:t xml:space="preserve"> dle § 123 odst. 1 zákona </w:t>
      </w:r>
      <w:r>
        <w:rPr>
          <w:rFonts w:ascii="Arial" w:hAnsi="Arial" w:cs="Arial"/>
        </w:rPr>
        <w:t>č. 128/2000 Sb., o obcích (obecní zřízení), ve znění pozdějších předpisů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Cs/>
        </w:rPr>
        <w:t xml:space="preserve"> </w:t>
      </w:r>
      <w:r>
        <w:rPr>
          <w:rFonts w:ascii="Arial" w:eastAsia="MS Mincho" w:hAnsi="Arial" w:cs="Arial"/>
          <w:b/>
          <w:iCs/>
        </w:rPr>
        <w:t>stanovuje</w:t>
      </w:r>
      <w:r>
        <w:rPr>
          <w:rFonts w:ascii="Arial" w:eastAsia="MS Mincho" w:hAnsi="Arial" w:cs="Arial"/>
          <w:b/>
          <w:i/>
          <w:iCs/>
        </w:rPr>
        <w:t xml:space="preserve"> </w:t>
      </w:r>
      <w:r>
        <w:rPr>
          <w:rFonts w:ascii="Arial" w:eastAsia="MS Mincho" w:hAnsi="Arial" w:cs="Arial"/>
          <w:b/>
        </w:rPr>
        <w:t>ke zjednání nápravy lhůta 15 dnů od doručení tohoto rozhodnutí</w:t>
      </w:r>
      <w:r>
        <w:rPr>
          <w:rFonts w:ascii="Arial" w:eastAsia="MS Mincho" w:hAnsi="Arial" w:cs="Arial"/>
        </w:rPr>
        <w:t>.</w:t>
      </w:r>
    </w:p>
    <w:p w14:paraId="060197C8" w14:textId="77777777" w:rsidR="00F47B28" w:rsidRDefault="00F47B28" w:rsidP="00F47B28">
      <w:pPr>
        <w:spacing w:line="300" w:lineRule="exact"/>
        <w:jc w:val="both"/>
        <w:rPr>
          <w:rFonts w:ascii="Arial" w:hAnsi="Arial" w:cs="Arial"/>
        </w:rPr>
      </w:pPr>
    </w:p>
    <w:p w14:paraId="062885A3" w14:textId="77777777" w:rsidR="00F47B28" w:rsidRDefault="00F47B28" w:rsidP="00F47B28">
      <w:pPr>
        <w:spacing w:line="300" w:lineRule="exact"/>
        <w:rPr>
          <w:rFonts w:ascii="Arial" w:hAnsi="Arial" w:cs="Arial"/>
          <w:b/>
        </w:rPr>
      </w:pPr>
    </w:p>
    <w:p w14:paraId="5B9B779C" w14:textId="77777777" w:rsidR="00F47B28" w:rsidRDefault="00F47B28" w:rsidP="00F47B28">
      <w:pPr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 ů v o d n ě n í:</w:t>
      </w:r>
    </w:p>
    <w:p w14:paraId="76487AC1" w14:textId="77777777" w:rsidR="00F47B28" w:rsidRDefault="00F47B28" w:rsidP="00F47B28">
      <w:pPr>
        <w:spacing w:line="300" w:lineRule="exact"/>
        <w:jc w:val="center"/>
        <w:rPr>
          <w:rFonts w:ascii="Arial" w:hAnsi="Arial" w:cs="Arial"/>
          <w:b/>
        </w:rPr>
      </w:pPr>
    </w:p>
    <w:p w14:paraId="559A2B35" w14:textId="77777777" w:rsidR="00F47B28" w:rsidRDefault="00F47B28" w:rsidP="00F47B28">
      <w:pPr>
        <w:pStyle w:val="Odstavecseseznamem"/>
        <w:numPr>
          <w:ilvl w:val="0"/>
          <w:numId w:val="2"/>
        </w:numPr>
        <w:spacing w:after="240" w:line="300" w:lineRule="exact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Rekapitulace postupu Ministerstva vnitra</w:t>
      </w:r>
    </w:p>
    <w:p w14:paraId="16787C14" w14:textId="0E6398A6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t xml:space="preserve">Zastupitelstvo obce Holoubkov schválilo obecně závaznou vyhlášku č. 2/2021, </w:t>
      </w:r>
      <w:r>
        <w:rPr>
          <w:spacing w:val="-3"/>
        </w:rPr>
        <w:t>o místním poplatku za obecní systém odpadového hospodářství (dále jen „OZV č. 2/2021“),</w:t>
      </w:r>
      <w:r>
        <w:t xml:space="preserve"> na svém zasedání konaném dne 20.</w:t>
      </w:r>
      <w:r w:rsidR="00CC3E3F">
        <w:t> </w:t>
      </w:r>
      <w:r>
        <w:t xml:space="preserve">prosince 2021. V souladu </w:t>
      </w:r>
      <w:r>
        <w:lastRenderedPageBreak/>
        <w:t xml:space="preserve">s ustanovením § 12 zákona č. 128/2000 Sb., o obcích (obecní zřízení), ve znění účinném do 31. prosince 2021, byla na úřední desce obecního úřadu vyvěšena dne 21. prosince 2021 a sejmuta z úřední desky dne 5. ledna 2022. Sazba poplatku dle uvedené obecně závazné vyhlášky činí 800 Kč a účinnosti nabývá patnáctým dnem po dni vyhlášení. Mimo zákonné osvobození je podle čl. 7 odst. 2 osvobozena od poplatku osoba, které poplatková povinnost vznikla z důvodu přihlášení v obci a která se po celý příslušný kalendářní rok zdržuje v zahraničí. </w:t>
      </w:r>
    </w:p>
    <w:p w14:paraId="273CCD5B" w14:textId="68935353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t xml:space="preserve">Dále </w:t>
      </w:r>
      <w:r w:rsidR="00CC3E3F">
        <w:t>Z</w:t>
      </w:r>
      <w:r>
        <w:t xml:space="preserve">astupitelstvo obce Holoubkov schválilo obecně závaznou vyhlášku č. 1/2022, kterou se mění obecně závazná vyhláška č. 2/2021, o místním poplatku za obecní systém odpadového hospodářství </w:t>
      </w:r>
      <w:r>
        <w:rPr>
          <w:spacing w:val="-3"/>
        </w:rPr>
        <w:t>(dále jen „OZV č. 1/2022“)</w:t>
      </w:r>
      <w:r w:rsidR="00CC3E3F">
        <w:rPr>
          <w:spacing w:val="-3"/>
        </w:rPr>
        <w:t>,</w:t>
      </w:r>
      <w:r>
        <w:t xml:space="preserve"> na svém zasedání dne 19. prosince 2022. V souladu s ustanovením § 12 zákona č. 128/2000 Sb., o obcích (obecní zřízení)</w:t>
      </w:r>
      <w:r w:rsidR="00CC3E3F">
        <w:t>,</w:t>
      </w:r>
      <w:r>
        <w:t xml:space="preserve"> ve znění pozdějších předpisů (dále jen „zákon o obcích“), ve spojení s § 2 odst. 1 zákona č. 35/2021 Sb., o Sbírce právních předpisů územních samosprávných celků a některých správních úřadů, byla předmětná OZV č. 1/2022 dne 20. prosince 2022 obcí Holoubkov vyhlášena ve Sbírce právních předpisů územních samosprávných celků a některých správních úřadů. Z obsahu OZV č. 1/2022 Ministerstvo vnitra zjistilo, že obec Holoubkov v rámci čl. 7 OZV č. 2/2021 doplňuje odst</w:t>
      </w:r>
      <w:r w:rsidR="00CC3E3F">
        <w:t>avec</w:t>
      </w:r>
      <w:r>
        <w:t xml:space="preserve"> 4, kterým se pro kalendářní rok 2023 od poplatku osvobozují všechny osoby, kterým poplatková povinnost vznikla v důsledku přihlášení v obci. </w:t>
      </w:r>
    </w:p>
    <w:p w14:paraId="629ED77A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t xml:space="preserve">Ministerstvo vnitra v rámci výkonu své metodické činnosti umožňuje obcím předběžné právní posouzení zákonnosti obecně závazných vyhlášek (tzv. návrhů obecně závazných vyhlášek) před jejich samotným schválením na zasedání </w:t>
      </w:r>
      <w:r>
        <w:rPr>
          <w:spacing w:val="3"/>
        </w:rPr>
        <w:t>zastupitelstva obce. V souladu s uvedeným postupem obdrželo Ministerstvo vnitra e-</w:t>
      </w:r>
      <w:r>
        <w:t xml:space="preserve">mailem dne 18. prosince 2022 (1 den před konáním zastupitelstva obce) návrh obecně závazné vyhlášky, který byl shledán v rozporu se zákonem. O této skutečnosti byla obec, z důvodu konání zastupitelstva obce již následující den (tj. 19. prosince 2022), vyrozuměna sdělením prostřednictvím elektronické komunikace e-mailem dne 19. prosince 2022. </w:t>
      </w:r>
    </w:p>
    <w:p w14:paraId="02BD3EBD" w14:textId="3920BA43" w:rsidR="00F47B28" w:rsidRDefault="00F47B28" w:rsidP="00F47B28">
      <w:pPr>
        <w:pStyle w:val="Text"/>
        <w:numPr>
          <w:ilvl w:val="0"/>
          <w:numId w:val="3"/>
        </w:numPr>
        <w:spacing w:after="240"/>
        <w:ind w:left="0" w:firstLine="0"/>
        <w:jc w:val="both"/>
        <w:rPr>
          <w:i/>
          <w:iCs/>
        </w:rPr>
      </w:pPr>
      <w:r>
        <w:t xml:space="preserve">Obec přesto na zasedání zastupitelstva obce konaného dne 19. prosince 2022 přijala OZV č. 1/2022 ve znění rozporovaném Ministerstvem vnitra v rámci návrhu obecně závazné vyhlášky. Ministerstvo vnitra po zveřejnění OZV č. 1/2022 ve Sbírce </w:t>
      </w:r>
      <w:r w:rsidR="00CC3E3F" w:rsidRPr="00CC3E3F">
        <w:t xml:space="preserve">právních předpisů územních samosprávných celků a některých správních úřadů </w:t>
      </w:r>
      <w:r>
        <w:t xml:space="preserve">dospělo k jednoznačnému závěru o rozporu OZV č. 1/2022 resp. obecně závazné vyhlášky č. 2/2021, o místním poplatku za obecní systém odpadového hospodářství, ve znění obecně závazné vyhlášky č. 1/2022, kterou se mění obecně závazná vyhláška č. 2/2021, o místním poplatku za obecní systém odpadového hospodářství (dále také jen „OZV“), se zákonem. Dne 10. ledna 2023 byla telefonicky dohodnuta schůzka zaměstnanců územního oddělení dozoru Plzeň – Karlovy Vary Ministerstva vnitra se zástupci obce na 19. ledna 2023 za účelem projednání zjištěného rozporu OZV se zákonem. K danému rozporu bylo dne 17. ledna 2023 obci zasláno právní </w:t>
      </w:r>
      <w:r>
        <w:lastRenderedPageBreak/>
        <w:t xml:space="preserve">posouzení OZV ze dne 16. ledna 2023, č. j. MV-181304-8/ODK-2021, ve kterém byl popsán zjištěný rozpor. Obci Holoubkov byla současně i zde nabídnuta metodická pomoc za účelem odstranění zjištěné nezákonnosti. </w:t>
      </w:r>
    </w:p>
    <w:p w14:paraId="20B2DF38" w14:textId="77777777" w:rsidR="00F47B28" w:rsidRDefault="00F47B28" w:rsidP="00F47B28">
      <w:pPr>
        <w:pStyle w:val="Text"/>
        <w:spacing w:after="240"/>
        <w:jc w:val="center"/>
        <w:rPr>
          <w:i/>
          <w:iCs/>
        </w:rPr>
      </w:pPr>
      <w:r>
        <w:rPr>
          <w:i/>
          <w:iCs/>
        </w:rPr>
        <w:t>Právní posouzení zákonnosti OZV</w:t>
      </w:r>
    </w:p>
    <w:p w14:paraId="092A296F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t>Jak bylo uvedeno v </w:t>
      </w:r>
      <w:r>
        <w:rPr>
          <w:b/>
        </w:rPr>
        <w:t>bodě 2</w:t>
      </w:r>
      <w:r>
        <w:t xml:space="preserve"> tohoto rozhodnutí, obec Holoubkov stanovila v čl. 7 odst. 4 OZV osvobození od poplatku pro rok 2023 pro všechny osoby, kterým poplatková povinnost vznikla v důsledku přihlášení v obci. </w:t>
      </w:r>
    </w:p>
    <w:p w14:paraId="318442BE" w14:textId="75166AF3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 w:rsidRPr="00CC3E3F">
        <w:rPr>
          <w:spacing w:val="3"/>
        </w:rPr>
        <w:t xml:space="preserve">Přestože mohou obce na základě § 14 odst. 3 písm. a) a b) zákona </w:t>
      </w:r>
      <w:r w:rsidR="00CC3E3F" w:rsidRPr="00CC3E3F">
        <w:rPr>
          <w:spacing w:val="3"/>
        </w:rPr>
        <w:t>č.</w:t>
      </w:r>
      <w:r w:rsidR="00CC3E3F">
        <w:rPr>
          <w:spacing w:val="3"/>
        </w:rPr>
        <w:t> </w:t>
      </w:r>
      <w:r w:rsidR="00CC3E3F" w:rsidRPr="00CC3E3F">
        <w:rPr>
          <w:spacing w:val="3"/>
        </w:rPr>
        <w:t>565/1990 Sb.,</w:t>
      </w:r>
      <w:r w:rsidR="00CC3E3F" w:rsidRPr="00CC3E3F">
        <w:t xml:space="preserve"> </w:t>
      </w:r>
      <w:r>
        <w:t>o místních poplatcích</w:t>
      </w:r>
      <w:r w:rsidR="00CC3E3F">
        <w:t>, ve znění pozdějších předpisů (dále jen „zákon o místních poplatcích“),</w:t>
      </w:r>
      <w:r>
        <w:t xml:space="preserve"> stanovit v obecně závazné vyhlášce vlastní osvobození a</w:t>
      </w:r>
      <w:r w:rsidR="00CC3E3F">
        <w:t> </w:t>
      </w:r>
      <w:r>
        <w:t xml:space="preserve">úlevy, není na jejich ničím neomezené úvaze, z jakých důvodů osvobození či úlevy od poplatku zavedou. Osvobození či úleva od poplatku </w:t>
      </w:r>
      <w:r>
        <w:rPr>
          <w:b/>
          <w:bCs/>
        </w:rPr>
        <w:t>musí mít vždy návaznost na předmět poplatku nebo specifické postavení poplatníka, které má vliv na jeho vztah k poplatkové povinnosti.</w:t>
      </w:r>
      <w:r>
        <w:t xml:space="preserve"> Smyslem a účelem osvobození a úlev od poplatku má být zmírnění či eliminace případných negativních dopadů zavedení místního poplatku na vybrané skupiny obyvatel (ať už ekonomických, sociálních či jiných). S tím rovněž souvisí i skutečnost, že </w:t>
      </w:r>
      <w:r>
        <w:rPr>
          <w:b/>
          <w:bCs/>
        </w:rPr>
        <w:t>osvobození či úlevy od poplatku nesmějí sloužit k obcházení zákona nebo být založeny na ústavně nepřípustném rozlišování (diskriminaci).</w:t>
      </w:r>
    </w:p>
    <w:p w14:paraId="3A014E70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rPr>
          <w:b/>
          <w:bCs/>
        </w:rPr>
        <w:t>Ministerstvo vnitra má za to, že zavedením osvobození od poplatku dle čl. 7 odst. 4 OZV obec obchází zákonem stanovenou konstrukci místního poplatku za obecní systém odpadového hospodářství vymezenou v § 10e a násl. zákona o místních poplatcích.</w:t>
      </w:r>
      <w:r>
        <w:t xml:space="preserve"> </w:t>
      </w:r>
    </w:p>
    <w:p w14:paraId="5F2AE93D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t xml:space="preserve">V rovině vydávání obecně závazných vyhlášek lze obcházení zákona, resp. zneužití práva chápat jako </w:t>
      </w:r>
      <w:r>
        <w:rPr>
          <w:b/>
          <w:bCs/>
        </w:rPr>
        <w:t>zneužití zákonem stanovené působnosti obce ve smyslu třetího kroku tzv. „testu čtyř kroků“</w:t>
      </w:r>
      <w:r>
        <w:t xml:space="preserve">, definovaného nálezem Ústavního soudu ze dne 22. března 2005,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Pl</w:t>
      </w:r>
      <w:proofErr w:type="spellEnd"/>
      <w:r>
        <w:t xml:space="preserve">. ÚS 63/04, </w:t>
      </w:r>
      <w:r>
        <w:rPr>
          <w:b/>
          <w:bCs/>
        </w:rPr>
        <w:t>a to cestou sledování účelu, který není zákonem aprobován.</w:t>
      </w:r>
    </w:p>
    <w:p w14:paraId="0C42BF1A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t xml:space="preserve">Poplatek za obecní systém odpadového hospodářství je konstruován tak, aby poplatková povinnost dopadala jak na fyzické osoby přihlášené v obci, tak na vlastníky zákonem stanovených nemovitých věcí, v nichž není přihlášena žádná fyzická osoba. </w:t>
      </w:r>
      <w:r>
        <w:rPr>
          <w:b/>
          <w:bCs/>
        </w:rPr>
        <w:t>Smyslem a účelem tohoto vymezení poplatníků je spravedlivě rozdělit na placení příspěvku na provoz obecního systému nakládání s komunálním odpadem mezi fyzické osoby, jež tento systém využívají.</w:t>
      </w:r>
      <w:r>
        <w:t xml:space="preserve"> Uvedené rozdělení vyplývá přímo </w:t>
      </w:r>
      <w:r>
        <w:rPr>
          <w:b/>
          <w:bCs/>
        </w:rPr>
        <w:t>z hodnotového rozhodnutí zákonodárce</w:t>
      </w:r>
      <w:r>
        <w:t xml:space="preserve">, který do něj vtělil jednu z možných představ o tom, co je ve společnosti ve vztahu k finanční spoluúčasti různých skupin </w:t>
      </w:r>
      <w:r>
        <w:lastRenderedPageBreak/>
        <w:t>osob produkujících na území obce komunální odpad a využívajících systém nakládání s komunálním odpadem pokládáno za spravedlivé.</w:t>
      </w:r>
    </w:p>
    <w:p w14:paraId="77A9F82C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t xml:space="preserve">V důvodové zprávě k novele zákona o místních poplatcích, kterou byl předmětný poplatek zaveden, se mimo jiné uvádí: </w:t>
      </w:r>
      <w:r>
        <w:rPr>
          <w:i/>
          <w:iCs/>
        </w:rPr>
        <w:t>„</w:t>
      </w:r>
      <w:r>
        <w:t>[p]</w:t>
      </w:r>
      <w:r>
        <w:rPr>
          <w:i/>
          <w:iCs/>
        </w:rPr>
        <w:t xml:space="preserve">oplatek za obecní systém odpadového hospodářství je </w:t>
      </w:r>
      <w:r>
        <w:rPr>
          <w:b/>
          <w:bCs/>
          <w:i/>
          <w:iCs/>
        </w:rPr>
        <w:t>poplatek za samotnou existenci systému nakládání s komunálním odpadem v obci. Tento poplatek vychází z principu, že ze systému má prospěch každá osoba, která je přihlášena v obci nebo vlastní na území obce nemovitou věc zahrnující byt, rodinný dům nebo stavbu pro rodinnou rekreaci, ve které není přihlášená žádná fyzická osoba</w:t>
      </w:r>
      <w:r>
        <w:rPr>
          <w:i/>
          <w:iCs/>
        </w:rPr>
        <w:t xml:space="preserve"> (srov. důvodovou zprávu k § 10e vymezující poplatníka tohoto poplatku), </w:t>
      </w:r>
      <w:r>
        <w:rPr>
          <w:b/>
          <w:bCs/>
          <w:i/>
          <w:iCs/>
        </w:rPr>
        <w:t xml:space="preserve">a to zásadně stejnou měrou. </w:t>
      </w:r>
      <w:r>
        <w:rPr>
          <w:i/>
          <w:iCs/>
        </w:rPr>
        <w:t>Proto obec zavede tento poplatek v pevné výši s tím, že se platí samostatně z toho důvodu přihlášení a samostatně z důvodu vlastnictví každé jednotlivé nemovité věci, ve které není přihlášena žádná fyzická osoba.“</w:t>
      </w:r>
      <w:r>
        <w:t>.</w:t>
      </w:r>
    </w:p>
    <w:p w14:paraId="4EA2A4DF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t xml:space="preserve">Z výše uvedeného tedy vyplývá, že </w:t>
      </w:r>
      <w:r>
        <w:rPr>
          <w:b/>
          <w:bCs/>
        </w:rPr>
        <w:t>poplatek je toliko paušálního charakteru, vázaný na formální kritérium pobytu</w:t>
      </w:r>
      <w:r>
        <w:t xml:space="preserve"> osoby v obci, </w:t>
      </w:r>
      <w:r>
        <w:rPr>
          <w:b/>
          <w:bCs/>
        </w:rPr>
        <w:t>případně na vlastnictví zákonem stanovené nemovité věci</w:t>
      </w:r>
      <w:r>
        <w:t xml:space="preserve">, ve které není přihlášena žádná fyzická osoba. Poplatek tak v podstatě představuje </w:t>
      </w:r>
      <w:r>
        <w:rPr>
          <w:b/>
          <w:bCs/>
        </w:rPr>
        <w:t>paušalizovaný příspěvek obci na provoz systému</w:t>
      </w:r>
      <w:r>
        <w:t xml:space="preserve"> nakládání s komunálními odpady a slouží ke krytí nákladů </w:t>
      </w:r>
      <w:r>
        <w:rPr>
          <w:b/>
          <w:bCs/>
        </w:rPr>
        <w:t>na provoz veřejné služby</w:t>
      </w:r>
      <w:r>
        <w:t>, která poplatníkům zabezpečuje konkrétní plnění (výhodu), jehož poplatníci nemusí, ale mohou využít.</w:t>
      </w:r>
    </w:p>
    <w:p w14:paraId="509BE6A3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rPr>
          <w:b/>
          <w:bCs/>
        </w:rPr>
        <w:t xml:space="preserve">Obcí stanovené osvobození pak vede k popření základní konstrukce příslušného poplatku, neboť z poplatku vytváří </w:t>
      </w:r>
      <w:r>
        <w:rPr>
          <w:b/>
          <w:bCs/>
          <w:i/>
          <w:iCs/>
        </w:rPr>
        <w:t>de facto</w:t>
      </w:r>
      <w:r>
        <w:rPr>
          <w:b/>
          <w:bCs/>
        </w:rPr>
        <w:t xml:space="preserve"> poplatek „z prázdné nemovitosti“.</w:t>
      </w:r>
      <w:r>
        <w:t xml:space="preserve"> Ministerstvo vnitra nerozporuje možnost poskytnutí osvobození některé skupině obyvatel, nicméně samotné přihlášení v obci nemůže být relevantním důvodem pro poskytnutí osvobození od poplatku. Jak již bylo uvedeno výše, poplatek má charakter příspěvku na provoz systému nakládání s komunálními odpady bez přímé vazby na produkci tohoto odpadu.</w:t>
      </w:r>
    </w:p>
    <w:p w14:paraId="07EBDD13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rPr>
          <w:b/>
          <w:bCs/>
        </w:rPr>
        <w:t>Pro úplnost dodáváme, že Ministerstvo vnitra zpravidla akceptuje, pokud obce od příslušného poplatku osvobodí (případně poskytnou úlevu) dětem či mladistvým, případně příjemců sociálních dávek; tyto případy lze ospravedlnit sociálními a ekonomickými důvody, neboť se zpravidla jedná o osoby ať již bez vlastního příjmu, za které poplatek platí jejich zákonní zástupci, nebo s příjmy omezenými. Nicméně Ministerstvo vnitra nemůže akceptovat osvobození pouze z toho důvodu, že tyto osoby jsou přihlášeny k pobytu. V této skupině osob jsou nepochybně ve značném počtu i osoby, které budou mít zpravidla vlastní příjem a případné poskytnutí osvobození nelze relevantně zdůvodnit, neboť naprosto popírá základní konstrukci poplatku.</w:t>
      </w:r>
    </w:p>
    <w:p w14:paraId="7E8CDDEB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lastRenderedPageBreak/>
        <w:t>Má-li obec za to, že jí zvolený místní poplatek za obecní systém odpadového hospodářství není ve vztahu k zákonem vymezeným kategoriím poplatníků spravedlivý, může zavést druhý zákonem předpokládaný poplatek za komunální odpad – místní poplatek za odkládání komunálního odpadu z nemovité věci, který není paušálního charakteru, ale jeho výše se odvíjí od množství skutečně odkládaného odpadu z nemovité věci, případně dle volby od poplatníkem objednané kapacity soustřeďovacích prostředků. Případně obec nemusí zavádět ani jeden z poplatků za komunální odpad a náklady na provoz systému nakládání s komunálním odpadem může krýt jiným způsobem (např. navýšením koeficientů u daně z nemovitých věcí).</w:t>
      </w:r>
    </w:p>
    <w:p w14:paraId="7D2A6D2A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t xml:space="preserve">Předmětný rozsah osvobození od poplatku je </w:t>
      </w:r>
      <w:r>
        <w:rPr>
          <w:b/>
        </w:rPr>
        <w:t>v rozporu</w:t>
      </w:r>
      <w:r>
        <w:t xml:space="preserve"> se zákonnou úpravou, neboť</w:t>
      </w:r>
      <w:r>
        <w:rPr>
          <w:b/>
        </w:rPr>
        <w:t xml:space="preserve"> obec nepřípustně zasahuje do základního parametru poplatku,</w:t>
      </w:r>
      <w:r>
        <w:t xml:space="preserve"> což lze chápat jako zneužití zákonem stanovené působnosti obce ve smyslu třetího kroku tzv. „testu čtyř kroků“, definovaného nálezem Ústavního soudu ze dne ze dne 22. března 2005,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Pl.ÚS</w:t>
      </w:r>
      <w:proofErr w:type="spellEnd"/>
      <w:r>
        <w:t xml:space="preserve"> 63/04, a to cestou sledování účelu, který není zákonem aprobován.</w:t>
      </w:r>
    </w:p>
    <w:p w14:paraId="5FAADA91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rPr>
          <w:b/>
        </w:rPr>
        <w:t xml:space="preserve">Z výše uvedeného důvodu hodnotí Ministerstvo vnitra čl. 7 odst. 4 OZV obce Holoubkov v rozporu s </w:t>
      </w:r>
      <w:r>
        <w:rPr>
          <w:b/>
          <w:spacing w:val="-3"/>
        </w:rPr>
        <w:t xml:space="preserve">§ 35 odst. 3 písm. a) zákona o obcích ve spojení s § 10e a násl. zákona </w:t>
      </w:r>
      <w:r>
        <w:rPr>
          <w:b/>
        </w:rPr>
        <w:t>o místních poplatcích a s čl. 11 odst. 5 Listiny základních práv a svobod.</w:t>
      </w:r>
    </w:p>
    <w:p w14:paraId="388FE5B0" w14:textId="77777777" w:rsidR="00F47B28" w:rsidRDefault="00F47B28" w:rsidP="00F47B28">
      <w:pPr>
        <w:pStyle w:val="Default"/>
        <w:spacing w:after="240"/>
        <w:jc w:val="center"/>
        <w:rPr>
          <w:i/>
          <w:iCs/>
        </w:rPr>
      </w:pPr>
      <w:r>
        <w:rPr>
          <w:i/>
          <w:iCs/>
        </w:rPr>
        <w:t>Výzva ke zjednání nápravy OZV</w:t>
      </w:r>
    </w:p>
    <w:p w14:paraId="036B51D4" w14:textId="7B8DFF2D" w:rsidR="00F47B28" w:rsidRDefault="00F47B28" w:rsidP="00F47B28">
      <w:pPr>
        <w:pStyle w:val="Default"/>
        <w:numPr>
          <w:ilvl w:val="0"/>
          <w:numId w:val="3"/>
        </w:numPr>
        <w:spacing w:after="240"/>
        <w:ind w:left="0" w:firstLine="0"/>
        <w:jc w:val="both"/>
      </w:pPr>
      <w:r>
        <w:t xml:space="preserve">Neboť obec Holoubkov při projednání nezákonnosti dne 19. ledna 2023 deklarovala, že trvá na znění vydané OZV, neboť má racionální a legitimní důvody pro zvolený typ a rozsah osvobození, a že nezjedná nápravu OZV, bylo Ministerstvo vnitra povinno v souladu s § 123 odst. 1 zákona o obcích formalizovaným způsobem obec vyzvat ke zjednání nápravy ve lhůtě do 60 dnů od doručení formalizované výzvy ke zjednání nápravy. </w:t>
      </w:r>
    </w:p>
    <w:p w14:paraId="472EF108" w14:textId="77777777" w:rsidR="00F47B28" w:rsidRDefault="00F47B28" w:rsidP="00F47B28">
      <w:pPr>
        <w:pStyle w:val="Default"/>
        <w:numPr>
          <w:ilvl w:val="0"/>
          <w:numId w:val="3"/>
        </w:numPr>
        <w:spacing w:after="240"/>
        <w:ind w:left="0" w:firstLine="0"/>
        <w:jc w:val="both"/>
      </w:pPr>
      <w:r>
        <w:t xml:space="preserve">Výzva ke zjednání nápravy ze dne 29. března 2023, č. j. MV-181304-10/ODK-2021, byla obci Holoubkov doručena dne 29. března 2023. Ministerstvo vnitra v rámci této výzvy obec Holoubkov požádalo, aby její obsah byl projednán na nejbližším zasedání Zastupitelstva obce Holoubkov. Obci byla současně ze strany Ministerstva vnitra nabídnuta metodická pomoc a součinnost při zjednávání nápravy shledaného rozporu OZV se zákonem. </w:t>
      </w:r>
    </w:p>
    <w:p w14:paraId="6EE19087" w14:textId="77777777" w:rsidR="00F47B28" w:rsidRDefault="00F47B28" w:rsidP="00F47B28">
      <w:pPr>
        <w:pStyle w:val="Default"/>
        <w:numPr>
          <w:ilvl w:val="0"/>
          <w:numId w:val="3"/>
        </w:numPr>
        <w:spacing w:after="240"/>
        <w:ind w:left="0" w:firstLine="0"/>
        <w:jc w:val="both"/>
        <w:rPr>
          <w:b/>
          <w:bCs/>
        </w:rPr>
      </w:pPr>
      <w:r>
        <w:t xml:space="preserve">V rámci předmětné výzvy pak byla obec Holoubkov požádána, aby nejpozději do 7 kalendářních dnů od uplynutí lhůty ke zjednání nápravy informovala Ministerstvo vnitra, zda byla náprava zjednána či nikoliv, včetně rozhodnutí dle předchozího odstavce. </w:t>
      </w:r>
      <w:r>
        <w:rPr>
          <w:b/>
          <w:bCs/>
        </w:rPr>
        <w:t xml:space="preserve">Lhůta ke zjednání nápravy obci Holoubkov uplynula ke dni 29. května 2023. </w:t>
      </w:r>
    </w:p>
    <w:p w14:paraId="5E7275F7" w14:textId="77777777" w:rsidR="00F47B28" w:rsidRDefault="00F47B28" w:rsidP="00F47B28">
      <w:pPr>
        <w:pStyle w:val="Default"/>
        <w:numPr>
          <w:ilvl w:val="0"/>
          <w:numId w:val="3"/>
        </w:numPr>
        <w:spacing w:after="360"/>
        <w:ind w:left="0" w:firstLine="0"/>
        <w:jc w:val="both"/>
      </w:pPr>
      <w:r>
        <w:lastRenderedPageBreak/>
        <w:t xml:space="preserve">Náhledem do Sbírky právních předpisů územních samosprávných celků a některých správních úřadů Ministerstvo vnitra ověřilo, že obec Holoubkov nevyhlásila žádnou obecně závaznou vyhlášku, kterou by nápravu OZV zjednala. Ministerstvu vnitra rovněž nebyla doručena žádná písemnost požadovaná dle bodů 18 a 19 tohoto rozhodnutí. </w:t>
      </w:r>
    </w:p>
    <w:p w14:paraId="6824665C" w14:textId="77777777" w:rsidR="00F47B28" w:rsidRDefault="00F47B28" w:rsidP="00F47B28">
      <w:pPr>
        <w:pStyle w:val="Default"/>
        <w:spacing w:after="240"/>
        <w:jc w:val="center"/>
        <w:rPr>
          <w:i/>
          <w:iCs/>
        </w:rPr>
      </w:pPr>
      <w:r>
        <w:rPr>
          <w:i/>
          <w:iCs/>
        </w:rPr>
        <w:t>Správní řízení o pozastavení účinnosti OZV</w:t>
      </w:r>
    </w:p>
    <w:p w14:paraId="5777CB43" w14:textId="77777777" w:rsidR="00F47B28" w:rsidRDefault="00F47B28" w:rsidP="00F47B28">
      <w:pPr>
        <w:pStyle w:val="Default"/>
        <w:numPr>
          <w:ilvl w:val="0"/>
          <w:numId w:val="3"/>
        </w:numPr>
        <w:spacing w:after="240"/>
        <w:ind w:left="0" w:firstLine="0"/>
        <w:jc w:val="both"/>
      </w:pPr>
      <w:r>
        <w:t>Neboť obec Holoubkov nápravu OZV ani po výzvě ke zjednání nápravy do 60 dnů od jejího doručení nezjednala, přistoupilo Ministerstvo vnitra v souladu s § 123 odst. 1 zákona o obcích k zahájení správního řízení o pozastavení účinnosti čl. 7 odst. 4 předmětné OZV. Správní řízení bylo s obcí Holoubkov zahájeno doručením oznámení o zahájení správního řízení ze dne 8. června 2023, č. j. MV-181304-12/ODK-2021. Součástí oznámení o zahájení řízení bylo poučení účastníka řízení o jeho jednotlivých procesních právech a povinnostech. Přílohou oznámení bylo podrobné vylíčení důvodů, pro které Ministerstvo vnitra dospělo k závěru o možném rozporu OZV se zákonem.</w:t>
      </w:r>
    </w:p>
    <w:p w14:paraId="29BD9C23" w14:textId="15DE792A" w:rsidR="00F47B28" w:rsidRDefault="00F47B28" w:rsidP="00F47B28">
      <w:pPr>
        <w:pStyle w:val="Odstavecseseznamem"/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Dopisem Ministerstva vnitra ze dne 20. června 2023, č. j. MV-181304-16/ODK-2021, byl účastník řízení vyrozuměn o shromáždění podkladů, z kterých bude správní orgán vycházet při vydání správního rozhodnutí. Účastník řízení byl poučen, že dokazování bude provedeno listinami založenými ve správním spise pod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 zn. MV-181304/ODK-2021. Účastníku řízení byl současně v souladu s § 36 odst. 1 a 2 </w:t>
      </w:r>
      <w:r w:rsidR="00B60E24">
        <w:rPr>
          <w:rFonts w:ascii="Arial" w:hAnsi="Arial" w:cs="Arial"/>
        </w:rPr>
        <w:t xml:space="preserve">zákona č. 500/2004 Sb., </w:t>
      </w:r>
      <w:r>
        <w:rPr>
          <w:rFonts w:ascii="Arial" w:hAnsi="Arial" w:cs="Arial"/>
        </w:rPr>
        <w:t>správní řád</w:t>
      </w:r>
      <w:r w:rsidR="00B60E24">
        <w:rPr>
          <w:rFonts w:ascii="Arial" w:hAnsi="Arial" w:cs="Arial"/>
        </w:rPr>
        <w:t>, ve znění pozdějších předpisů (dále jen „správní řád“</w:t>
      </w:r>
      <w:proofErr w:type="gramStart"/>
      <w:r w:rsidR="00B60E24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 poučen</w:t>
      </w:r>
      <w:proofErr w:type="gramEnd"/>
      <w:r>
        <w:rPr>
          <w:rFonts w:ascii="Arial" w:hAnsi="Arial" w:cs="Arial"/>
        </w:rPr>
        <w:t xml:space="preserve"> o možnosti navrhovat důkazy a činit jiné návrhy po celou dobu řízení až do vydání rozhodnutí a právo vyjádřit v řízení své stanovisko, a to i k jiným otázkám, než je provedení důkazů.</w:t>
      </w:r>
    </w:p>
    <w:p w14:paraId="676B40BF" w14:textId="77777777" w:rsidR="0013355D" w:rsidRDefault="0013355D" w:rsidP="0013355D">
      <w:pPr>
        <w:pStyle w:val="Odstavecseseznamem"/>
        <w:spacing w:after="240"/>
        <w:ind w:left="0"/>
        <w:jc w:val="both"/>
        <w:rPr>
          <w:rFonts w:ascii="Arial" w:hAnsi="Arial" w:cs="Arial"/>
        </w:rPr>
      </w:pPr>
    </w:p>
    <w:p w14:paraId="6A1BB98A" w14:textId="66C15AA4" w:rsidR="00F47B28" w:rsidRDefault="00F47B28" w:rsidP="00F47B28">
      <w:pPr>
        <w:pStyle w:val="Odstavecseseznamem"/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Účastník řízení byl dále v souladu s § 4 a § 38 správního řádu poučen o právu nahlížet do správního spisu. Správní orgán poskytl účastníku řízení soupis obsahu spisu, aktuální ke dni 20. června 2023; správní orgán nabídl účastníkovi řízení (na základě žádosti účastníka řízení) poskytnout elektronickou kopii obsahu spisu (elektronickou kopii všech listin, které jsou součástí správního spisu). Této nabídky účastník řízení nevyužil.</w:t>
      </w:r>
    </w:p>
    <w:p w14:paraId="22BF2B08" w14:textId="77777777" w:rsidR="0013355D" w:rsidRDefault="0013355D" w:rsidP="0013355D">
      <w:pPr>
        <w:pStyle w:val="Odstavecseseznamem"/>
        <w:spacing w:after="240"/>
        <w:ind w:left="0"/>
        <w:jc w:val="both"/>
        <w:rPr>
          <w:rFonts w:ascii="Arial" w:hAnsi="Arial" w:cs="Arial"/>
        </w:rPr>
      </w:pPr>
    </w:p>
    <w:p w14:paraId="44A9C045" w14:textId="77777777" w:rsidR="00F47B28" w:rsidRDefault="00F47B28" w:rsidP="00F47B28">
      <w:pPr>
        <w:pStyle w:val="Odstavecseseznamem"/>
        <w:numPr>
          <w:ilvl w:val="0"/>
          <w:numId w:val="2"/>
        </w:numPr>
        <w:spacing w:after="120"/>
        <w:ind w:left="284" w:hanging="284"/>
        <w:jc w:val="center"/>
        <w:rPr>
          <w:rFonts w:ascii="Arial" w:hAnsi="Arial" w:cs="Arial"/>
          <w:b/>
        </w:rPr>
      </w:pPr>
      <w:bookmarkStart w:id="10" w:name="_Hlk128946402"/>
      <w:r>
        <w:rPr>
          <w:rFonts w:ascii="Arial" w:hAnsi="Arial" w:cs="Arial"/>
          <w:b/>
        </w:rPr>
        <w:t xml:space="preserve">Skutková zjištění vyplývající z provedených důkazů a dalších podkladů pro vydání rozhodnutí </w:t>
      </w:r>
    </w:p>
    <w:bookmarkEnd w:id="10"/>
    <w:p w14:paraId="46B231EE" w14:textId="77777777" w:rsidR="0013355D" w:rsidRDefault="00F47B28" w:rsidP="0013355D">
      <w:pPr>
        <w:pStyle w:val="Text"/>
        <w:numPr>
          <w:ilvl w:val="0"/>
          <w:numId w:val="3"/>
        </w:numPr>
        <w:spacing w:after="240"/>
        <w:ind w:left="0" w:firstLine="0"/>
        <w:jc w:val="both"/>
      </w:pPr>
      <w:r>
        <w:t xml:space="preserve">Dle § 3 správního řádu platí, že nevyplývá-li ze zákona něco jiného, postupuje správní orgán tak, aby byl zjištěn stav věci, o němž nejsou důvodné pochybnosti, a to v rozsahu, který je nezbytný pro soulad jeho úkonu s požadavky vyplývajícími z § 2 správního řádu. Současně dle § 50 odst. 3 správního řádu platí, že správní orgán je povinen zjistit všechny okolnosti důležité pro ochranu veřejného zájmu. V řízení, v němž má být z moci úřední uložena povinnost, je správní orgán povinen i bez návrhu </w:t>
      </w:r>
      <w:r>
        <w:lastRenderedPageBreak/>
        <w:t xml:space="preserve">zjistit všechny rozhodné okolnosti svědčící ve prospěch i v neprospěch toho, komu má být povinnost uložena. </w:t>
      </w:r>
    </w:p>
    <w:p w14:paraId="5E7EF491" w14:textId="50F79F97" w:rsidR="00F47B28" w:rsidRDefault="00F47B28" w:rsidP="0013355D">
      <w:pPr>
        <w:pStyle w:val="Text"/>
        <w:numPr>
          <w:ilvl w:val="0"/>
          <w:numId w:val="3"/>
        </w:numPr>
        <w:spacing w:after="240"/>
        <w:ind w:left="0" w:firstLine="0"/>
        <w:jc w:val="both"/>
      </w:pPr>
      <w:r>
        <w:t>V souladu se shora uvedeným Ministerstvo vnitra při zjišťování stavu věci vycházelo z níže uvedených podkladů pro vydání rozhodnutí, které shromáždilo v průběhu celého dozorového procesu a které tvoří listinné důkazy, vyjádření účastníka řízení a skutečnosti obecně známé. Tyto podklady (zejména důkazy) přitom Ministerstvo vnitra hodnotilo v souladu s § 50 odst. 4 správního řádu v souladu se zásadou volného hodnocení důkazů; přitom pečlivě přihlíželo ke všemu, co vyšlo v řízení najevo, včetně toho, co uvedl účastník řízení.</w:t>
      </w:r>
    </w:p>
    <w:p w14:paraId="47793D63" w14:textId="77777777" w:rsidR="00F47B28" w:rsidRDefault="00F47B28" w:rsidP="00F47B28">
      <w:pPr>
        <w:pStyle w:val="Text"/>
        <w:numPr>
          <w:ilvl w:val="0"/>
          <w:numId w:val="3"/>
        </w:numPr>
        <w:spacing w:after="240"/>
        <w:ind w:left="0" w:firstLine="0"/>
        <w:jc w:val="both"/>
      </w:pPr>
      <w:r>
        <w:rPr>
          <w:bCs/>
        </w:rPr>
        <w:t>Z důkazu provedeného listinami, kterými byly samotná OZV,</w:t>
      </w:r>
      <w:r>
        <w:rPr>
          <w:rStyle w:val="Znakapoznpodarou"/>
          <w:bCs/>
        </w:rPr>
        <w:footnoteReference w:id="1"/>
      </w:r>
      <w:r>
        <w:rPr>
          <w:bCs/>
        </w:rPr>
        <w:t xml:space="preserve"> zápisy ze zasedání Zastupitelstva obce Holoubkov konaných dne 20. prosince 2021 a 19. prosince 2022 (dále jen </w:t>
      </w:r>
      <w:r>
        <w:rPr>
          <w:b/>
          <w:bCs/>
        </w:rPr>
        <w:t>„zápis ze zasedání zastupitelstva“</w:t>
      </w:r>
      <w:r>
        <w:rPr>
          <w:bCs/>
        </w:rPr>
        <w:t>),</w:t>
      </w:r>
      <w:r>
        <w:rPr>
          <w:rStyle w:val="Znakapoznpodarou"/>
          <w:bCs/>
        </w:rPr>
        <w:footnoteReference w:id="2"/>
      </w:r>
      <w:r>
        <w:rPr>
          <w:bCs/>
        </w:rPr>
        <w:t xml:space="preserve"> a pozvánky na tyto zasedání</w:t>
      </w:r>
      <w:r>
        <w:rPr>
          <w:rStyle w:val="Znakapoznpodarou"/>
          <w:bCs/>
        </w:rPr>
        <w:footnoteReference w:id="3"/>
      </w:r>
      <w:r>
        <w:rPr>
          <w:bCs/>
        </w:rPr>
        <w:t xml:space="preserve"> obdržené na základě usnesení o předložení listiny</w:t>
      </w:r>
      <w:r>
        <w:rPr>
          <w:rStyle w:val="Znakapoznpodarou"/>
          <w:bCs/>
        </w:rPr>
        <w:footnoteReference w:id="4"/>
      </w:r>
      <w:r>
        <w:rPr>
          <w:bCs/>
        </w:rPr>
        <w:t>, Ministerstvo vnitra zjistilo, že OZV byla vydána k tomu kompetentním orgánem, tj. Zastupitelstvem obce Holoubkov [čl. 104 odst. 3 Ústavy České republiky a § 84 odst. 2 písm. h) zákona</w:t>
      </w:r>
      <w:r>
        <w:t xml:space="preserve"> o obcích</w:t>
      </w:r>
      <w:r>
        <w:rPr>
          <w:bCs/>
        </w:rPr>
        <w:t>], o jehož zasedání byla veřejnost včas a v souladu s § 93 odst. 1 zákona o obcích informována (informace byla zveřejněna 13. prosince 2021 a 12. prosince 2022, tj. alespoň 7 dní před zasedáním zastupitelstva). Dle zápisů ze zasedání zastupitelstva bylo zastupitelstvo usnášeníschopné ve smyslu § 92 odst. 3 zákona o obcích [na zasedání dne 20. prosince 2021 bylo přítomno 7 zastupitelů obce (4 byli omluveni); na zasedání dne 19. prosince 2022 bylo přítomno všech 11 zastupitelů obce] a obě obecně závazné vyhlášky v souladu s § 87 zákona o obcích schválilo zastupitelstvo obce většinou svých členů.</w:t>
      </w:r>
    </w:p>
    <w:p w14:paraId="1134C939" w14:textId="77777777" w:rsidR="00F47B28" w:rsidRDefault="00F47B28" w:rsidP="00F47B28">
      <w:pPr>
        <w:pStyle w:val="Text"/>
        <w:numPr>
          <w:ilvl w:val="0"/>
          <w:numId w:val="3"/>
        </w:numPr>
        <w:spacing w:after="240"/>
        <w:ind w:left="0" w:firstLine="0"/>
        <w:jc w:val="both"/>
      </w:pPr>
      <w:r>
        <w:rPr>
          <w:bCs/>
        </w:rPr>
        <w:t xml:space="preserve"> Z podkladů předložených obcí Holoubkov (kopie podepsané obecně závazné vyhlášky s vyznačením data vyvěšení a sejmutí z úřední desky) je zřejmé, že v</w:t>
      </w:r>
      <w:r>
        <w:t xml:space="preserve"> souladu s ustanovením § 12 zákona č. 128/2000 Sb., o obcích (obecní zřízení), ve znění účinném do 31. prosince 2021, byla OZV č. 2/2021 na úřední desce obecního úřadu vyvěšena dne 21. prosince 2021 a sejmuta z úřední desky dne 5. ledna 2022. </w:t>
      </w:r>
      <w:r>
        <w:rPr>
          <w:bCs/>
        </w:rPr>
        <w:t xml:space="preserve">Z ověření údajů ze Sbírky právních předpisů územních samosprávných celků a některých správních úřadů dále vyplývá, že OZV č. 1/2022 byla zveřejněna dne 20. prosince 2022, pročež byly splněny podmínky stanovené v § 12 zákona o obcích ve spojení s § 2 odst. 1 zákona č. 35/2021 Sb., o Sbírce právních předpisů územních samosprávných celků a některých správních úřadů, tj. právní předpis obce byl řádně vyhlášen a stal se platnou součástí právního řádu. </w:t>
      </w:r>
      <w:bookmarkStart w:id="11" w:name="_Hlk127878164"/>
    </w:p>
    <w:p w14:paraId="31184369" w14:textId="77777777" w:rsidR="00F47B28" w:rsidRDefault="00F47B28" w:rsidP="00F47B28">
      <w:pPr>
        <w:pStyle w:val="Text"/>
        <w:spacing w:after="240"/>
        <w:jc w:val="both"/>
      </w:pPr>
    </w:p>
    <w:p w14:paraId="0ADED35D" w14:textId="77777777" w:rsidR="00F47B28" w:rsidRDefault="00F47B28" w:rsidP="00F47B28">
      <w:pPr>
        <w:pStyle w:val="Text"/>
        <w:numPr>
          <w:ilvl w:val="0"/>
          <w:numId w:val="2"/>
        </w:numPr>
        <w:spacing w:after="240"/>
        <w:ind w:left="284" w:hanging="284"/>
        <w:jc w:val="center"/>
        <w:rPr>
          <w:b/>
          <w:bCs/>
        </w:rPr>
      </w:pPr>
      <w:r>
        <w:rPr>
          <w:b/>
          <w:bCs/>
        </w:rPr>
        <w:lastRenderedPageBreak/>
        <w:t>Právní hodnocení věci</w:t>
      </w:r>
    </w:p>
    <w:p w14:paraId="215F3D73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  <w:rPr>
          <w:bCs/>
        </w:rPr>
      </w:pPr>
      <w:r>
        <w:rPr>
          <w:bCs/>
        </w:rPr>
        <w:t>Při posuzování zákonnosti OZV obce Holoubkov Ministerstvo vnitra vychází z tzv. </w:t>
      </w:r>
      <w:r>
        <w:rPr>
          <w:b/>
          <w:bCs/>
        </w:rPr>
        <w:t>„testu čtyř kroků“</w:t>
      </w:r>
      <w:r>
        <w:rPr>
          <w:bCs/>
        </w:rPr>
        <w:t xml:space="preserve"> definovaného Ústavním soudem v nálezu ze dne 22. března 2005, </w:t>
      </w:r>
      <w:proofErr w:type="spellStart"/>
      <w:r>
        <w:rPr>
          <w:bCs/>
        </w:rPr>
        <w:t>sp</w:t>
      </w:r>
      <w:proofErr w:type="spellEnd"/>
      <w:r>
        <w:rPr>
          <w:bCs/>
        </w:rPr>
        <w:t xml:space="preserve">. zn. </w:t>
      </w:r>
      <w:proofErr w:type="spellStart"/>
      <w:r>
        <w:rPr>
          <w:bCs/>
        </w:rPr>
        <w:t>Pl</w:t>
      </w:r>
      <w:proofErr w:type="spellEnd"/>
      <w:r>
        <w:rPr>
          <w:bCs/>
        </w:rPr>
        <w:t xml:space="preserve">. ÚS 63/04 (Prostějov), a blíže upřesněného navazující judikaturou tohoto soudu. Tento test, zjednodušeně řečeno, sestává z přezkumu pravomoci obce vydat obecně závaznou vyhlášku a souladu způsobu realizace této pravomoci s právním řádem (1. krok testu), zkoumání, zda se obec při vydávání obecně závazné vyhlášky nepohybovala mimo hranice zákonem vymezené věcné působnosti, tj. nejednala </w:t>
      </w:r>
      <w:r>
        <w:rPr>
          <w:bCs/>
          <w:i/>
        </w:rPr>
        <w:t xml:space="preserve">ultra </w:t>
      </w:r>
      <w:proofErr w:type="spellStart"/>
      <w:r>
        <w:rPr>
          <w:bCs/>
          <w:i/>
        </w:rPr>
        <w:t>vires</w:t>
      </w:r>
      <w:proofErr w:type="spellEnd"/>
      <w:r>
        <w:rPr>
          <w:bCs/>
        </w:rPr>
        <w:t xml:space="preserve"> (2. krok testu), zkoumání, zda obec při vydávání obecně závazné vyhlášky nezneužila jí svěřenou působnost (3. krok testu), a konečně přezkumu obsahu obecně závazné vyhlášky z hlediska její „nerozumnosti“ (4. krok testu). Vedle uvedeného je posuzováno, zda obsah obecně závazné vyhlášky splňuje obecná kritéria kladená na právní předpisy, tj. zda jsou její ustanovení s využitím obvyklých interpretačních postupů určitá a vzájemně nerozporná.</w:t>
      </w:r>
    </w:p>
    <w:p w14:paraId="5DC53420" w14:textId="77777777" w:rsidR="00F47B28" w:rsidRDefault="00F47B28" w:rsidP="00F47B28">
      <w:pPr>
        <w:rPr>
          <w:rFonts w:ascii="Arial" w:hAnsi="Arial" w:cs="Arial"/>
          <w:b/>
          <w:bCs/>
        </w:rPr>
      </w:pPr>
    </w:p>
    <w:p w14:paraId="716D972C" w14:textId="77777777" w:rsidR="00F47B28" w:rsidRDefault="00F47B28" w:rsidP="00F47B28">
      <w:pPr>
        <w:pStyle w:val="Text"/>
        <w:spacing w:after="240"/>
        <w:ind w:firstLine="709"/>
        <w:jc w:val="center"/>
        <w:rPr>
          <w:b/>
          <w:bCs/>
        </w:rPr>
      </w:pPr>
      <w:r>
        <w:rPr>
          <w:b/>
          <w:bCs/>
        </w:rPr>
        <w:t>III. A První krok testu – přezkum pravomoci obce vydat OZV</w:t>
      </w:r>
    </w:p>
    <w:p w14:paraId="144D743D" w14:textId="77777777" w:rsidR="00F47B28" w:rsidRDefault="00F47B28" w:rsidP="00F47B28">
      <w:pPr>
        <w:pStyle w:val="Text"/>
        <w:numPr>
          <w:ilvl w:val="0"/>
          <w:numId w:val="3"/>
        </w:numPr>
        <w:spacing w:after="240"/>
        <w:ind w:left="0" w:firstLine="0"/>
        <w:jc w:val="both"/>
        <w:rPr>
          <w:bCs/>
        </w:rPr>
      </w:pPr>
      <w:r>
        <w:rPr>
          <w:bCs/>
        </w:rPr>
        <w:t xml:space="preserve">Přezkum pravomoci obce vydat obecně závaznou vyhlášku spočívá ve zjišťování, zda obec vydala právní předpis ve své kompetenci a v jí odpovídající formě stanovené zákonem, zda tak učinila kompetentním orgánem a způsobem, který zákon předepisuje. Pravomoc obce vydávat obecně závazné vyhlášky v mezích své věcné působnosti vyplývá z čl. 104 odst. 1 a 3 Ústavy České republiky. Obce jsou tudíž přímo z Ústavy České republiky zmocněny tvořit právo ve formě právních předpisů originární povahy. Logickým důsledkem této skutečnosti potom je, že obce, na rozdíl od vydávání právních předpisů v přenesené působnosti ve smyslu čl. 79 odst. 3 Ústavy České republiky, jehož dikce explicitní zákonné zmocnění vyžaduje, k vydávání obecně závazných vyhlášek v mezích své věcné působnosti (a to i když jsou jimi ukládány povinnosti), již žádné další zákonné zmocnění nepotřebují. </w:t>
      </w:r>
      <w:r>
        <w:rPr>
          <w:b/>
          <w:bCs/>
        </w:rPr>
        <w:t>Výjimku přitom dle Ústavního soudu představuje ukládání daní a poplatků, v jejichž případě vzhledem k čl. 11 odst. 5 Listiny základních práv a svobod konkrétní zákonné zmocnění nezbytné je</w:t>
      </w:r>
      <w:r>
        <w:rPr>
          <w:bCs/>
        </w:rPr>
        <w:t xml:space="preserve"> [srov. nález Ústavního soudu ze dne 12. listopadu 2007, </w:t>
      </w:r>
      <w:proofErr w:type="spellStart"/>
      <w:r>
        <w:rPr>
          <w:bCs/>
        </w:rPr>
        <w:t>sp</w:t>
      </w:r>
      <w:proofErr w:type="spellEnd"/>
      <w:r>
        <w:rPr>
          <w:bCs/>
        </w:rPr>
        <w:t xml:space="preserve">. zn. </w:t>
      </w:r>
      <w:proofErr w:type="spellStart"/>
      <w:r>
        <w:rPr>
          <w:bCs/>
        </w:rPr>
        <w:t>Pl.ÚS</w:t>
      </w:r>
      <w:proofErr w:type="spellEnd"/>
      <w:r>
        <w:rPr>
          <w:bCs/>
        </w:rPr>
        <w:t xml:space="preserve"> 45/06 (Jirkov), bod 26].</w:t>
      </w:r>
    </w:p>
    <w:p w14:paraId="7A71085F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  <w:rPr>
          <w:bCs/>
        </w:rPr>
      </w:pPr>
      <w:r>
        <w:rPr>
          <w:bCs/>
        </w:rPr>
        <w:t xml:space="preserve">V návaznosti na skutečnosti zjištěné v rámci dokazování pod body 26 a 27 tohoto rozhodnutí </w:t>
      </w:r>
      <w:r>
        <w:t xml:space="preserve">Ministerstvo vnitra konstatuje, že OZV byla vydána kompetentním orgánem, v odpovídající formě a způsobem předpokládaným zákonem o obcích a zákonem o místních poplatcích. </w:t>
      </w:r>
      <w:r>
        <w:rPr>
          <w:b/>
          <w:bCs/>
        </w:rPr>
        <w:t>OZV tudíž v prvním kroku testu čtyř kroků obstála.</w:t>
      </w:r>
    </w:p>
    <w:p w14:paraId="5D5B17E6" w14:textId="77777777" w:rsidR="00F47B28" w:rsidRDefault="00F47B28" w:rsidP="00F47B28">
      <w:pPr>
        <w:pStyle w:val="Text"/>
        <w:spacing w:after="240"/>
        <w:jc w:val="center"/>
        <w:rPr>
          <w:b/>
          <w:bCs/>
        </w:rPr>
      </w:pPr>
      <w:r>
        <w:rPr>
          <w:b/>
          <w:bCs/>
        </w:rPr>
        <w:t xml:space="preserve">III. B Druhý krok testu – přezkum, zda se obec při vydávání OZV nepohybovala mimo hranice zákonem vymezené věcné působnosti (nejednala </w:t>
      </w:r>
      <w:r>
        <w:rPr>
          <w:b/>
          <w:bCs/>
          <w:i/>
        </w:rPr>
        <w:t xml:space="preserve">ultra </w:t>
      </w:r>
      <w:proofErr w:type="spellStart"/>
      <w:r>
        <w:rPr>
          <w:b/>
          <w:bCs/>
          <w:i/>
        </w:rPr>
        <w:t>vires</w:t>
      </w:r>
      <w:proofErr w:type="spellEnd"/>
      <w:r>
        <w:rPr>
          <w:b/>
          <w:bCs/>
        </w:rPr>
        <w:t>)</w:t>
      </w:r>
    </w:p>
    <w:p w14:paraId="0AB0C845" w14:textId="77777777" w:rsidR="00F47B28" w:rsidRDefault="00F47B28" w:rsidP="00F47B28">
      <w:pPr>
        <w:pStyle w:val="Text"/>
        <w:numPr>
          <w:ilvl w:val="0"/>
          <w:numId w:val="3"/>
        </w:numPr>
        <w:spacing w:after="240"/>
        <w:ind w:left="0" w:firstLine="0"/>
        <w:jc w:val="both"/>
        <w:rPr>
          <w:bCs/>
        </w:rPr>
      </w:pPr>
      <w:r>
        <w:rPr>
          <w:bCs/>
        </w:rPr>
        <w:lastRenderedPageBreak/>
        <w:t xml:space="preserve">Jak již bylo zmíněno, s přihlédnutím k čl. 104 odst. 1 a 3 Ústavy České republiky obce nepotřebují k normotvorbě ve své samostatné působnosti žádné explicitní zákonné zmocnění, a mohou tedy formou obecně závazných vyhlášek ukládat povinnosti v mezích své zákonem stanovené působnosti. Věcné oblasti této působnosti přitom vymezuje § 10 zákona o obcích. Pro všechny takto vymezené věcné oblasti pak platí společná podmínka, že musí jít o záležitost v zájmu obce a občanů obce (§ 35 odst. 1 zákona o obcích). Jinými slovy, musí jít vždy o místní záležitosti, nikoli o záležitosti krajského nebo celostátního významu, jejichž regulace přísluší podle zákona krajům nebo správním úřadům jako výkon státní správy (§ 35 odst. 1 zákona o obcích). </w:t>
      </w:r>
    </w:p>
    <w:p w14:paraId="3AFFC041" w14:textId="77777777" w:rsidR="00F47B28" w:rsidRDefault="00F47B28" w:rsidP="00F47B28">
      <w:pPr>
        <w:pStyle w:val="Text"/>
        <w:numPr>
          <w:ilvl w:val="0"/>
          <w:numId w:val="3"/>
        </w:numPr>
        <w:spacing w:after="240"/>
        <w:ind w:left="0" w:firstLine="0"/>
        <w:jc w:val="both"/>
        <w:rPr>
          <w:bCs/>
        </w:rPr>
      </w:pPr>
      <w:r>
        <w:rPr>
          <w:bCs/>
        </w:rPr>
        <w:t xml:space="preserve">Podle § 35 odst. 3 písm. a) zákona o obcích se dále obec musí při vydávání obecně závazných vyhlášek řídit zákonem – právní předpis obce se nesmí dostat do rozporu s normou vyšší právní síly (zásada </w:t>
      </w:r>
      <w:r>
        <w:rPr>
          <w:bCs/>
          <w:i/>
        </w:rPr>
        <w:t xml:space="preserve">lex superior </w:t>
      </w:r>
      <w:proofErr w:type="spellStart"/>
      <w:r>
        <w:rPr>
          <w:bCs/>
          <w:i/>
        </w:rPr>
        <w:t>derogat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inferiori</w:t>
      </w:r>
      <w:proofErr w:type="spellEnd"/>
      <w:r>
        <w:rPr>
          <w:bCs/>
        </w:rPr>
        <w:t xml:space="preserve">). </w:t>
      </w:r>
      <w:r>
        <w:rPr>
          <w:b/>
        </w:rPr>
        <w:t>Obecně závazná vyhláška obce nemůže upravovat otázky, které jsou vyhrazeny pouze zákonné úpravě.</w:t>
      </w:r>
      <w:r>
        <w:rPr>
          <w:bCs/>
        </w:rPr>
        <w:t xml:space="preserve"> Odpověď na otázku, zda obec nepřekročila meze své zákonné působnosti tím, že normuje oblasti vyhrazené zákonné úpravě, předpokládá identifikaci předmětu a cíle regulace zákona na straně jedné a obecně závazné vyhlášky na straně druhé. Pokud se nepřekrývají, nelze bez dalšího říci, že obec nesmí normovat určitou záležitost z důvodu, že je již regulována na úrovni zákona.</w:t>
      </w:r>
    </w:p>
    <w:p w14:paraId="007F5881" w14:textId="77777777" w:rsidR="00F47B28" w:rsidRDefault="00F47B28" w:rsidP="00F47B28">
      <w:pPr>
        <w:pStyle w:val="Text"/>
        <w:numPr>
          <w:ilvl w:val="0"/>
          <w:numId w:val="3"/>
        </w:numPr>
        <w:spacing w:after="240"/>
        <w:ind w:left="0" w:firstLine="0"/>
        <w:jc w:val="both"/>
        <w:rPr>
          <w:bCs/>
        </w:rPr>
      </w:pPr>
      <w:r>
        <w:rPr>
          <w:bCs/>
        </w:rPr>
        <w:t xml:space="preserve">Ve vztahu k ukládání daní a poplatků formou obecně závazných vyhlášek však nepostačuje pouhá skutečnost, že se obec pohybuje v mezích zákonem jí stanovené věcné působnosti [srov. nález Ústavního soudu ze dne 22. března 2005, </w:t>
      </w:r>
      <w:proofErr w:type="spellStart"/>
      <w:r>
        <w:rPr>
          <w:bCs/>
        </w:rPr>
        <w:t>sp</w:t>
      </w:r>
      <w:proofErr w:type="spellEnd"/>
      <w:r>
        <w:rPr>
          <w:bCs/>
        </w:rPr>
        <w:t>. zn. </w:t>
      </w:r>
      <w:proofErr w:type="spellStart"/>
      <w:r>
        <w:rPr>
          <w:bCs/>
        </w:rPr>
        <w:t>Pl.ÚS</w:t>
      </w:r>
      <w:proofErr w:type="spellEnd"/>
      <w:r>
        <w:rPr>
          <w:bCs/>
        </w:rPr>
        <w:t xml:space="preserve"> 63/04 (Prostějov)]. </w:t>
      </w:r>
      <w:r>
        <w:rPr>
          <w:b/>
          <w:bCs/>
        </w:rPr>
        <w:t>Tato obecná věcná působnost je totiž zúžena čl. 11 odst. 5 Listiny základních práv a svobod, podle nějž lze daně a poplatky ukládat pouze na základě zákona, z čehož Ústavní soud dovozuje nezbytnost existence konkrétního zákonného zmocnění pro přijímání obecně závazných vyhlášek v těchto otázkách.</w:t>
      </w:r>
      <w:r>
        <w:rPr>
          <w:bCs/>
        </w:rPr>
        <w:t xml:space="preserve"> S uvedeným pak nedílně souvisí i skutečnost, že ukládání daňových a poplatkových povinností je s přihlédnutím k čl. 4 odst. 1 Listiny základních práv a svobod možné </w:t>
      </w:r>
      <w:r>
        <w:t xml:space="preserve">toliko na základě zákona a v jeho mezích a jen při zachování základních práv a svobod, neboť čl. 11 odst. 5 je toliko speciálním úpravou čl. 4 odst. 1 Listiny základních práv a svobod (srov. nález Ústavního soudu ze dne 12. prosince 2017, </w:t>
      </w:r>
      <w:proofErr w:type="spellStart"/>
      <w:r>
        <w:t>sp</w:t>
      </w:r>
      <w:proofErr w:type="spellEnd"/>
      <w:r>
        <w:t xml:space="preserve">. zn. </w:t>
      </w:r>
      <w:proofErr w:type="spellStart"/>
      <w:r>
        <w:t>Pl.ÚS</w:t>
      </w:r>
      <w:proofErr w:type="spellEnd"/>
      <w:r>
        <w:t xml:space="preserve"> 26/06, bod 106). </w:t>
      </w:r>
      <w:r>
        <w:rPr>
          <w:b/>
        </w:rPr>
        <w:t>Zavádět daně a poplatky, případně upravovat některé jejich aspekty, lze tedy pouze na základě konkrétního zákonného zmocnění a v jeho mezích.</w:t>
      </w:r>
      <w:r>
        <w:rPr>
          <w:rStyle w:val="Znakapoznpodarou"/>
          <w:b/>
        </w:rPr>
        <w:footnoteReference w:id="5"/>
      </w:r>
      <w:r>
        <w:rPr>
          <w:b/>
        </w:rPr>
        <w:t xml:space="preserve"> </w:t>
      </w:r>
    </w:p>
    <w:p w14:paraId="30730D01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  <w:rPr>
          <w:bCs/>
        </w:rPr>
      </w:pPr>
      <w:r>
        <w:lastRenderedPageBreak/>
        <w:t xml:space="preserve">Zákonné zmocnění pro vydání obecně závazné vyhlášky upravující některý z místních poplatků je upraveno v § 14 zákona místních poplatcích. Dle odst. 1 předmětného ustanovení platí: </w:t>
      </w:r>
      <w:r>
        <w:rPr>
          <w:i/>
        </w:rPr>
        <w:t>„Obec zavádí poplatek obecně závaznou vyhláškou.“</w:t>
      </w:r>
      <w:r>
        <w:rPr>
          <w:iCs/>
        </w:rPr>
        <w:t xml:space="preserve">. Taxativní výčet místních poplatků, které je obec oprávněna zavést je obsažen v § 1 zákona o místních poplatcích. </w:t>
      </w:r>
      <w:r>
        <w:t>Obec Holoubkov v rámci OZV přistoupila k zavedení místního poplatku za komunální odpad na základě § 14 zákona o místních poplatcích, konkrétně poplatku za obecní systém odpadového hospodářství dle § 10e zákona o místních poplatcích.</w:t>
      </w:r>
    </w:p>
    <w:p w14:paraId="48C6A56C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  <w:rPr>
          <w:bCs/>
        </w:rPr>
      </w:pPr>
      <w:r>
        <w:rPr>
          <w:bCs/>
        </w:rPr>
        <w:t xml:space="preserve">Obec Holoubkov tedy vydala OZV na základě zákonného zmocnění dle zákona o místních poplatcích, přičemž musí dále striktně dodržovat § 10d až § 10h a § 10o až §10r a § 14 zákona o místních poplatcích. Čl. 7 OZV tuto podmínku splňuje, neboť § 14 odst. 3 písm. a) zákona o místních poplatcích zmocňuje obec k úpravě dalšího osvobození od poplatku. </w:t>
      </w:r>
      <w:r>
        <w:t>Ministerstvo vnitra konstatuje, že u</w:t>
      </w:r>
      <w:r>
        <w:rPr>
          <w:bCs/>
        </w:rPr>
        <w:t xml:space="preserve">stanovení čl. 7 odst. 4 </w:t>
      </w:r>
      <w:r>
        <w:t xml:space="preserve">OZV obstálo </w:t>
      </w:r>
      <w:r>
        <w:rPr>
          <w:b/>
          <w:bCs/>
        </w:rPr>
        <w:t>v druhém kroku testu čtyř kroků</w:t>
      </w:r>
      <w:r>
        <w:t xml:space="preserve">, tj. </w:t>
      </w:r>
      <w:r>
        <w:rPr>
          <w:bCs/>
        </w:rPr>
        <w:t>zkoumání, zda obec při vydávání obecně závazné vyhlášky nezneužila jí svěřenou působnost</w:t>
      </w:r>
      <w:r>
        <w:rPr>
          <w:b/>
          <w:bCs/>
        </w:rPr>
        <w:t>.</w:t>
      </w:r>
    </w:p>
    <w:p w14:paraId="07C4FF36" w14:textId="77777777" w:rsidR="00F47B28" w:rsidRDefault="00F47B28" w:rsidP="00F47B28">
      <w:pPr>
        <w:pStyle w:val="Text"/>
        <w:spacing w:after="240"/>
        <w:jc w:val="center"/>
        <w:rPr>
          <w:b/>
          <w:bCs/>
        </w:rPr>
      </w:pPr>
    </w:p>
    <w:p w14:paraId="2B7F63AE" w14:textId="77777777" w:rsidR="00F47B28" w:rsidRDefault="00F47B28" w:rsidP="00F47B28">
      <w:pPr>
        <w:pStyle w:val="Text"/>
        <w:spacing w:after="240"/>
        <w:jc w:val="center"/>
        <w:rPr>
          <w:b/>
          <w:bCs/>
        </w:rPr>
      </w:pPr>
      <w:r>
        <w:rPr>
          <w:b/>
          <w:bCs/>
        </w:rPr>
        <w:t>III. C Třetí krok testu – přezkum, zda obec při vydávání OZV nezneužila zákonem ji svěřenou působnost</w:t>
      </w:r>
    </w:p>
    <w:p w14:paraId="511FD25E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rPr>
          <w:bCs/>
        </w:rPr>
        <w:t xml:space="preserve">V třetím kroku testu čtyř kroků je zkoumáno, zda obec při vydávání obecně závazné vyhlášky nezneužila zákonem ji svěřenou působnost. </w:t>
      </w:r>
      <w:r>
        <w:rPr>
          <w:b/>
          <w:bCs/>
        </w:rPr>
        <w:t xml:space="preserve">Zneužití této působnosti dle Ústavního soudu (nález ze dne 22. března 2005, </w:t>
      </w:r>
      <w:proofErr w:type="spellStart"/>
      <w:r>
        <w:rPr>
          <w:b/>
          <w:bCs/>
        </w:rPr>
        <w:t>sp</w:t>
      </w:r>
      <w:proofErr w:type="spellEnd"/>
      <w:r>
        <w:rPr>
          <w:b/>
          <w:bCs/>
        </w:rPr>
        <w:t xml:space="preserve">. zn. </w:t>
      </w:r>
      <w:proofErr w:type="spellStart"/>
      <w:r>
        <w:rPr>
          <w:b/>
          <w:bCs/>
        </w:rPr>
        <w:t>Pl</w:t>
      </w:r>
      <w:proofErr w:type="spellEnd"/>
      <w:r>
        <w:rPr>
          <w:b/>
          <w:bCs/>
        </w:rPr>
        <w:t>. ÚS 63/04) představuje výkon moci v zákonem svěřené oblasti 1. cestou sledování účelu, který není zákonem aprobován, 2. cestou opomíjení relevantních úvah při přijímání rozhodnutí nebo naopak 3. přihlížení k nerelevantním úvahám.</w:t>
      </w:r>
      <w:r>
        <w:rPr>
          <w:bCs/>
        </w:rPr>
        <w:t xml:space="preserve"> V tomto kroku testu je v souladu s nálezem Ústavního soudu ze dne 18. srpna 2004, </w:t>
      </w:r>
      <w:proofErr w:type="spellStart"/>
      <w:r>
        <w:rPr>
          <w:bCs/>
        </w:rPr>
        <w:t>sp</w:t>
      </w:r>
      <w:proofErr w:type="spellEnd"/>
      <w:r>
        <w:rPr>
          <w:bCs/>
        </w:rPr>
        <w:t>. zn. </w:t>
      </w:r>
      <w:proofErr w:type="spellStart"/>
      <w:r>
        <w:rPr>
          <w:bCs/>
        </w:rPr>
        <w:t>Pl</w:t>
      </w:r>
      <w:proofErr w:type="spellEnd"/>
      <w:r>
        <w:rPr>
          <w:bCs/>
        </w:rPr>
        <w:t>. ÚS 7/03, namístě vyjádřit se především k otázkám, zda obec Holoubkov při stanovení předmětného osvobození od poplatku v jeho konkrétní podobě neobchází zákon nebo jej nezakládá na ústavně nepřípustném rozlišování (diskriminaci).</w:t>
      </w:r>
    </w:p>
    <w:p w14:paraId="4CD636EA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rPr>
          <w:bCs/>
        </w:rPr>
        <w:t xml:space="preserve">Obcházení zákona </w:t>
      </w:r>
      <w:r>
        <w:t xml:space="preserve">definoval Ústavní soud ve svém nálezu </w:t>
      </w:r>
      <w:proofErr w:type="spellStart"/>
      <w:r>
        <w:t>sp</w:t>
      </w:r>
      <w:proofErr w:type="spellEnd"/>
      <w:r>
        <w:t xml:space="preserve">. zn. II. ÚS 119/01: </w:t>
      </w:r>
      <w:r>
        <w:rPr>
          <w:i/>
          <w:iCs/>
        </w:rPr>
        <w:t>„</w:t>
      </w:r>
      <w:r>
        <w:t>[o]</w:t>
      </w:r>
      <w:proofErr w:type="spellStart"/>
      <w:r>
        <w:rPr>
          <w:i/>
          <w:iCs/>
        </w:rPr>
        <w:t>bcházení</w:t>
      </w:r>
      <w:proofErr w:type="spellEnd"/>
      <w:r>
        <w:rPr>
          <w:i/>
          <w:iCs/>
        </w:rPr>
        <w:t xml:space="preserve"> zákona spočívá ve vyloučení závazného pravidla záměrným použitím </w:t>
      </w:r>
      <w:r>
        <w:rPr>
          <w:i/>
          <w:iCs/>
        </w:rPr>
        <w:lastRenderedPageBreak/>
        <w:t>prostředku, který sám o sobě není zákonem zakázaný, v důsledku čehož se uvedený stav stane z hlediska pozitivního práva nenapadnutelným. Jednání in </w:t>
      </w:r>
      <w:proofErr w:type="spellStart"/>
      <w:r>
        <w:rPr>
          <w:i/>
          <w:iCs/>
        </w:rPr>
        <w:t>fraudem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legis</w:t>
      </w:r>
      <w:proofErr w:type="spellEnd"/>
      <w:r>
        <w:rPr>
          <w:i/>
          <w:iCs/>
        </w:rPr>
        <w:t xml:space="preserve"> představuje postup, kdy se někdo chová podle práva, ale tak, aby záměrně dosáhl výsledku právní normou nepředvídaného a nežádoucího.“</w:t>
      </w:r>
      <w:r>
        <w:t>.</w:t>
      </w:r>
    </w:p>
    <w:p w14:paraId="510595E2" w14:textId="77777777" w:rsidR="00F47B28" w:rsidRDefault="00F47B28" w:rsidP="00F47B28">
      <w:pPr>
        <w:pStyle w:val="Text"/>
        <w:numPr>
          <w:ilvl w:val="0"/>
          <w:numId w:val="3"/>
        </w:numPr>
        <w:spacing w:after="120"/>
        <w:ind w:left="0" w:firstLine="0"/>
        <w:jc w:val="both"/>
        <w:rPr>
          <w:i/>
          <w:iCs/>
        </w:rPr>
      </w:pPr>
      <w:r>
        <w:t xml:space="preserve">Osoba poplatníka místního poplatku za obecní systém odpadového hospodářství je vymezena v § 10e zákona o místních poplatcích: </w:t>
      </w:r>
      <w:r>
        <w:rPr>
          <w:i/>
          <w:iCs/>
        </w:rPr>
        <w:t>„</w:t>
      </w:r>
      <w:r>
        <w:t>[p]</w:t>
      </w:r>
      <w:proofErr w:type="spellStart"/>
      <w:r>
        <w:rPr>
          <w:i/>
          <w:iCs/>
        </w:rPr>
        <w:t>oplatníkem</w:t>
      </w:r>
      <w:proofErr w:type="spellEnd"/>
      <w:r>
        <w:rPr>
          <w:i/>
          <w:iCs/>
        </w:rPr>
        <w:t xml:space="preserve"> poplatku za obecní systém odpadového hospodářství je</w:t>
      </w:r>
    </w:p>
    <w:p w14:paraId="5E53E800" w14:textId="77777777" w:rsidR="00F47B28" w:rsidRDefault="00F47B28" w:rsidP="00F47B28">
      <w:pPr>
        <w:pStyle w:val="Text"/>
        <w:numPr>
          <w:ilvl w:val="0"/>
          <w:numId w:val="4"/>
        </w:numPr>
        <w:spacing w:after="120"/>
        <w:ind w:left="714" w:hanging="357"/>
        <w:jc w:val="both"/>
        <w:rPr>
          <w:i/>
          <w:iCs/>
        </w:rPr>
      </w:pPr>
      <w:r>
        <w:rPr>
          <w:i/>
          <w:iCs/>
        </w:rPr>
        <w:t>fyzická osoba přihlášená v obci nebo</w:t>
      </w:r>
    </w:p>
    <w:p w14:paraId="53F82D3A" w14:textId="77777777" w:rsidR="00F47B28" w:rsidRDefault="00F47B28" w:rsidP="00F47B28">
      <w:pPr>
        <w:pStyle w:val="Text"/>
        <w:numPr>
          <w:ilvl w:val="0"/>
          <w:numId w:val="4"/>
        </w:numPr>
        <w:spacing w:after="360"/>
        <w:ind w:left="714" w:hanging="357"/>
        <w:jc w:val="both"/>
      </w:pPr>
      <w:r>
        <w:rPr>
          <w:i/>
          <w:iCs/>
        </w:rPr>
        <w:t>vlastník nemovité věci zahrnující byt, rodinný dům nebo stavbu pro rodinnou rekreaci, ve které není přihlášena žádná fyzická osoba a která je umístěna na území obce.“</w:t>
      </w:r>
      <w:r>
        <w:t>.</w:t>
      </w:r>
    </w:p>
    <w:p w14:paraId="72EBF31E" w14:textId="77777777" w:rsidR="00F47B28" w:rsidRDefault="00F47B28" w:rsidP="00F47B28">
      <w:pPr>
        <w:pStyle w:val="Text"/>
        <w:numPr>
          <w:ilvl w:val="0"/>
          <w:numId w:val="3"/>
        </w:numPr>
        <w:spacing w:after="120"/>
        <w:ind w:left="0" w:firstLine="0"/>
        <w:jc w:val="both"/>
        <w:rPr>
          <w:i/>
          <w:iCs/>
        </w:rPr>
      </w:pPr>
      <w:r>
        <w:t xml:space="preserve">Předmět poplatku za obecní systém odpadového hospodářství vymezuje § 10f zákona o místních poplatcích: </w:t>
      </w:r>
      <w:r>
        <w:rPr>
          <w:i/>
          <w:iCs/>
        </w:rPr>
        <w:t>„</w:t>
      </w:r>
      <w:r>
        <w:t>[p]</w:t>
      </w:r>
      <w:proofErr w:type="spellStart"/>
      <w:r>
        <w:rPr>
          <w:i/>
          <w:iCs/>
        </w:rPr>
        <w:t>ředmětem</w:t>
      </w:r>
      <w:proofErr w:type="spellEnd"/>
      <w:r>
        <w:rPr>
          <w:i/>
          <w:iCs/>
        </w:rPr>
        <w:t xml:space="preserve"> poplatku za obecní systém odpadového hospodářství je jednotlivá možnost využívat obecní systém odpadového hospodářství, která je dána</w:t>
      </w:r>
    </w:p>
    <w:p w14:paraId="60DAB910" w14:textId="77777777" w:rsidR="00F47B28" w:rsidRDefault="00F47B28" w:rsidP="00F47B28">
      <w:pPr>
        <w:pStyle w:val="Text"/>
        <w:numPr>
          <w:ilvl w:val="0"/>
          <w:numId w:val="5"/>
        </w:numPr>
        <w:spacing w:after="120"/>
        <w:jc w:val="both"/>
        <w:rPr>
          <w:i/>
          <w:iCs/>
        </w:rPr>
      </w:pPr>
      <w:r>
        <w:rPr>
          <w:i/>
          <w:iCs/>
        </w:rPr>
        <w:t>přihlášením v této obci,</w:t>
      </w:r>
    </w:p>
    <w:p w14:paraId="41FA7BB2" w14:textId="77777777" w:rsidR="00F47B28" w:rsidRDefault="00F47B28" w:rsidP="00F47B28">
      <w:pPr>
        <w:pStyle w:val="Text"/>
        <w:numPr>
          <w:ilvl w:val="0"/>
          <w:numId w:val="5"/>
        </w:numPr>
        <w:spacing w:after="360"/>
        <w:jc w:val="both"/>
      </w:pPr>
      <w:r>
        <w:rPr>
          <w:i/>
          <w:iCs/>
        </w:rPr>
        <w:t>vlastnictvím jednotlivé nemovité věci zahrnující byt, rodinný dům nebo stavbu pro rodinnou rekreaci, ve které není přihlášena žádná fyzická osoba a která se nachází na území této obce.“</w:t>
      </w:r>
      <w:r>
        <w:t>.</w:t>
      </w:r>
    </w:p>
    <w:p w14:paraId="4168302F" w14:textId="3D325BA4" w:rsidR="00F47B28" w:rsidRPr="0013355D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citovaných ustanovení rozlišuje zákon o místních poplatcích u tohoto poplatku 2 skupiny poplatníků, tj. osoby přihlášené v obci a vlastníky příslušných nemovitých věcí, přičemž tyto dvě kategorie poplatníků stanoví na stejnou úroveň. K tomu viz také důvodová zpráva </w:t>
      </w:r>
      <w:r>
        <w:rPr>
          <w:rFonts w:ascii="Arial" w:eastAsia="Arial" w:hAnsi="Arial" w:cs="Arial"/>
        </w:rPr>
        <w:t xml:space="preserve">k novele zákona o místních poplatcích, kterou byly výše uvedené poplatky za komunální odpad zavedeny, se mimo jiné uvádí: </w:t>
      </w:r>
      <w:r>
        <w:rPr>
          <w:rFonts w:ascii="Arial" w:eastAsia="Arial" w:hAnsi="Arial" w:cs="Arial"/>
          <w:i/>
        </w:rPr>
        <w:t xml:space="preserve">„Poplatek za obecní systém odpadového hospodářství je </w:t>
      </w:r>
      <w:r>
        <w:rPr>
          <w:rFonts w:ascii="Arial" w:eastAsia="Arial" w:hAnsi="Arial" w:cs="Arial"/>
          <w:b/>
          <w:i/>
        </w:rPr>
        <w:t xml:space="preserve">poplatek za samotnou existenci systému nakládání s komunálním odpadem v obci. Tento poplatek vychází z principu, že ze systému má prospěch každá osoba, která je přihlášena v obci nebo vlastní na území obce nemovitou věc zahrnující byt, rodinný dům nebo stavbu pro rodinnou rekreaci, ve které není přihlášena žádná fyzická osoba </w:t>
      </w:r>
      <w:r>
        <w:rPr>
          <w:rFonts w:ascii="Arial" w:eastAsia="Arial" w:hAnsi="Arial" w:cs="Arial"/>
          <w:i/>
        </w:rPr>
        <w:t xml:space="preserve">(srov. důvodovou zprávu k § 10e vymezující poplatníka tohoto poplatku), </w:t>
      </w:r>
      <w:r>
        <w:rPr>
          <w:rFonts w:ascii="Arial" w:eastAsia="Arial" w:hAnsi="Arial" w:cs="Arial"/>
          <w:b/>
          <w:i/>
          <w:u w:val="single"/>
        </w:rPr>
        <w:t>a to zásadně stejnou měrou</w:t>
      </w:r>
      <w:r>
        <w:rPr>
          <w:rFonts w:ascii="Arial" w:eastAsia="Arial" w:hAnsi="Arial" w:cs="Arial"/>
          <w:b/>
          <w:i/>
        </w:rPr>
        <w:t>.</w:t>
      </w:r>
      <w:r>
        <w:rPr>
          <w:rFonts w:ascii="Arial" w:eastAsia="Arial" w:hAnsi="Arial" w:cs="Arial"/>
          <w:i/>
        </w:rPr>
        <w:t xml:space="preserve"> Proto obec zavede tento poplatek v pevné výši s tím, že se platí samostatně z důvodu přihlášení a samostatně z důvodu vlastnictví každé jednotlivé nemovité věci, ve které není přihlášená žádná fyzická osoba.</w:t>
      </w:r>
    </w:p>
    <w:p w14:paraId="4FF276CC" w14:textId="77777777" w:rsidR="0013355D" w:rsidRDefault="0013355D" w:rsidP="0013355D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550D50B7" w14:textId="0AFC4A4A" w:rsidR="00F47B28" w:rsidRPr="0013355D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eastAsia="Arial" w:hAnsi="Arial" w:cs="Arial"/>
          <w:i/>
        </w:rPr>
        <w:t>Poplatek za odkládání komunálního odpadu z nemovité věci je naopak založen na skutečném množství vyprodukovaného odpadu, který byl odložen do soustřeďovacích nádob nebo na určená místa, případně na kapacitě soustřeďovacích prostředků objednaných na poplatkové období.“</w:t>
      </w:r>
      <w:r>
        <w:rPr>
          <w:rFonts w:ascii="Arial" w:eastAsia="Arial" w:hAnsi="Arial" w:cs="Arial"/>
          <w:iCs/>
        </w:rPr>
        <w:t xml:space="preserve">. Ústavní soud se </w:t>
      </w:r>
      <w:r>
        <w:rPr>
          <w:rFonts w:ascii="Arial" w:eastAsia="Arial" w:hAnsi="Arial" w:cs="Arial"/>
          <w:iCs/>
        </w:rPr>
        <w:lastRenderedPageBreak/>
        <w:t xml:space="preserve">ve svém nálezu ze dne 11. dubna 2023 </w:t>
      </w:r>
      <w:proofErr w:type="spellStart"/>
      <w:r>
        <w:rPr>
          <w:rFonts w:ascii="Arial" w:eastAsia="Arial" w:hAnsi="Arial" w:cs="Arial"/>
          <w:iCs/>
        </w:rPr>
        <w:t>sp</w:t>
      </w:r>
      <w:proofErr w:type="spellEnd"/>
      <w:r>
        <w:rPr>
          <w:rFonts w:ascii="Arial" w:eastAsia="Arial" w:hAnsi="Arial" w:cs="Arial"/>
          <w:iCs/>
        </w:rPr>
        <w:t xml:space="preserve">. zn. </w:t>
      </w:r>
      <w:proofErr w:type="spellStart"/>
      <w:r>
        <w:rPr>
          <w:rFonts w:ascii="Arial" w:eastAsia="Arial" w:hAnsi="Arial" w:cs="Arial"/>
          <w:iCs/>
        </w:rPr>
        <w:t>Pl</w:t>
      </w:r>
      <w:proofErr w:type="spellEnd"/>
      <w:r>
        <w:rPr>
          <w:rFonts w:ascii="Arial" w:eastAsia="Arial" w:hAnsi="Arial" w:cs="Arial"/>
          <w:iCs/>
        </w:rPr>
        <w:t xml:space="preserve">. ÚS 25/22 vyjadřoval k důležitosti důvodové zprávy za účelem zjištění smyslu a účely zákona (resp. jeho novely): </w:t>
      </w:r>
      <w:r>
        <w:rPr>
          <w:rFonts w:ascii="Arial" w:eastAsia="Arial" w:hAnsi="Arial" w:cs="Arial"/>
          <w:i/>
        </w:rPr>
        <w:t>„(…) důvodová zpráva k zákonu je významným pomocným dokumentem ke zjištění jeho smyslu a účelu. (…) Ústavní soud běžně své judikatuře vychází z důvodových zpráv při výkladu zákona, ačkoli nejde o právně závazné akty.“</w:t>
      </w:r>
      <w:r>
        <w:rPr>
          <w:rFonts w:ascii="Arial" w:eastAsia="Arial" w:hAnsi="Arial" w:cs="Arial"/>
          <w:iCs/>
        </w:rPr>
        <w:t>.</w:t>
      </w:r>
    </w:p>
    <w:p w14:paraId="0BBA9E5A" w14:textId="77777777" w:rsidR="0013355D" w:rsidRDefault="0013355D" w:rsidP="0013355D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7ADE6DEB" w14:textId="00FD647D" w:rsidR="00F47B28" w:rsidRPr="0013355D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si obec zvolí konkrétní variantu místního poplatku za komunální odpad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musí respektovat její charakter a zákonodárcem stanovené základní parametry. V případě poplatku za obecní systém odpadového hospodářství tak nelze plošně stanovit různou výši sazby pro osoby v obci přihlášené a osoby vlastnící zde zákonem stanovenou nemovitou věc, v níž není přihlášena žádná fyzická osoba, a to ani prostřednictvím osvobození či úlev; ze stejných důvodů nelze ani stanovit různou sazbu poplatku pro „podskupiny“ těchto poplatníků</w:t>
      </w:r>
      <w:r>
        <w:rPr>
          <w:rFonts w:ascii="Arial" w:hAnsi="Arial" w:cs="Arial"/>
        </w:rPr>
        <w:t xml:space="preserve"> (tj. např. pro osoby vlastnící nemovitou věc zahrnující stavbu pro rodinnou rekreaci, ve které není přihlášena žádná fyzická osoba). </w:t>
      </w:r>
      <w:r>
        <w:rPr>
          <w:rFonts w:ascii="Arial" w:hAnsi="Arial" w:cs="Arial"/>
          <w:b/>
        </w:rPr>
        <w:t>V opačném případě obec nepřípustně zasahuje do základního parametru poplatku.</w:t>
      </w:r>
    </w:p>
    <w:p w14:paraId="1404ADE9" w14:textId="77777777" w:rsidR="0013355D" w:rsidRDefault="0013355D" w:rsidP="0013355D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422BD0B9" w14:textId="1B8F4FD3" w:rsidR="00F47B28" w:rsidRPr="003A279A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Arial" w:hAnsi="Arial" w:cs="Arial"/>
          <w:iCs/>
        </w:rPr>
        <w:t>Shodné závěry vyslovuje rovněž Ústavní soud ve svém nálezu ze dne 11. dubna 2023</w:t>
      </w:r>
      <w:r w:rsidR="00B60E24">
        <w:rPr>
          <w:rFonts w:ascii="Arial" w:eastAsia="Arial" w:hAnsi="Arial" w:cs="Arial"/>
          <w:iCs/>
        </w:rPr>
        <w:t>,</w:t>
      </w:r>
      <w:r>
        <w:rPr>
          <w:rFonts w:ascii="Arial" w:eastAsia="Arial" w:hAnsi="Arial" w:cs="Arial"/>
          <w:iCs/>
        </w:rPr>
        <w:t xml:space="preserve"> </w:t>
      </w:r>
      <w:proofErr w:type="spellStart"/>
      <w:r>
        <w:rPr>
          <w:rFonts w:ascii="Arial" w:eastAsia="Arial" w:hAnsi="Arial" w:cs="Arial"/>
          <w:iCs/>
        </w:rPr>
        <w:t>sp</w:t>
      </w:r>
      <w:proofErr w:type="spellEnd"/>
      <w:r>
        <w:rPr>
          <w:rFonts w:ascii="Arial" w:eastAsia="Arial" w:hAnsi="Arial" w:cs="Arial"/>
          <w:iCs/>
        </w:rPr>
        <w:t xml:space="preserve">. zn. </w:t>
      </w:r>
      <w:proofErr w:type="spellStart"/>
      <w:r>
        <w:rPr>
          <w:rFonts w:ascii="Arial" w:eastAsia="Arial" w:hAnsi="Arial" w:cs="Arial"/>
          <w:iCs/>
        </w:rPr>
        <w:t>Pl</w:t>
      </w:r>
      <w:proofErr w:type="spellEnd"/>
      <w:r>
        <w:rPr>
          <w:rFonts w:ascii="Arial" w:eastAsia="Arial" w:hAnsi="Arial" w:cs="Arial"/>
          <w:iCs/>
        </w:rPr>
        <w:t>. ÚS 25/22</w:t>
      </w:r>
      <w:r w:rsidR="00B60E24">
        <w:rPr>
          <w:rFonts w:ascii="Arial" w:eastAsia="Arial" w:hAnsi="Arial" w:cs="Arial"/>
          <w:iCs/>
        </w:rPr>
        <w:t>,</w:t>
      </w:r>
      <w:r>
        <w:rPr>
          <w:rFonts w:ascii="Arial" w:eastAsia="Arial" w:hAnsi="Arial" w:cs="Arial"/>
          <w:iCs/>
        </w:rPr>
        <w:t xml:space="preserve"> bod 24: </w:t>
      </w:r>
      <w:r>
        <w:rPr>
          <w:rFonts w:ascii="Arial" w:eastAsia="Arial" w:hAnsi="Arial" w:cs="Arial"/>
          <w:i/>
        </w:rPr>
        <w:t>„</w:t>
      </w:r>
      <w:r>
        <w:rPr>
          <w:rFonts w:ascii="Arial" w:eastAsia="Arial" w:hAnsi="Arial" w:cs="Arial"/>
          <w:iCs/>
        </w:rPr>
        <w:t>[z]</w:t>
      </w:r>
      <w:r>
        <w:rPr>
          <w:rFonts w:ascii="Arial" w:eastAsia="Arial" w:hAnsi="Arial" w:cs="Arial"/>
          <w:i/>
        </w:rPr>
        <w:t xml:space="preserve"> uvedeného se podává, že obec, rozhodne-li se vůbec pro zavedení některého z poplatků za komunální odpad [k čemuž není povinna, srov. § 1 písm. g) zákona o místních poplatcích], má možnost výběru ze dvou poplatkových schémat. Zatímco první poplatek („za systém“) zaručuje, že všichni poplatníci platí stejnou výši poplatku bez ohledu na rozsah vyprodukovaného odpadu, u druhé varianty („za odkládání“) naopak rozsah poplatkové povinnosti odráží rozsah vyprodukovaného odpadu. Toto potvrzuje i důvodová zpráva k zákonu č. 543/2020 Sb. Tak zákon definuje základní parametry místních poplatků ta komunální odpad.“</w:t>
      </w:r>
      <w:r>
        <w:rPr>
          <w:rFonts w:ascii="Arial" w:eastAsia="Arial" w:hAnsi="Arial" w:cs="Arial"/>
          <w:iCs/>
        </w:rPr>
        <w:t xml:space="preserve">. Rovněž v této souvislosti Ústavní soud uvedl, že přihlášení fyzické osoby k pobytu v obci neznamená, že tato osoba bez dalšího produkuje méně či více odpadu, protože toto kritérium ze své podstaty nezohledňuje, kde a jakým způsobem osoba skutečně žije. </w:t>
      </w:r>
      <w:r>
        <w:rPr>
          <w:rFonts w:ascii="Arial" w:eastAsia="Arial" w:hAnsi="Arial" w:cs="Arial"/>
          <w:b/>
          <w:bCs/>
          <w:iCs/>
        </w:rPr>
        <w:t>Z výše uvedeného tedy vyplývá jednoznačný závěr, že nelze bez dalšího stanovit osvobození (úlevu) celé jedné zákonem vymezené kategorii poplatníků.</w:t>
      </w:r>
    </w:p>
    <w:p w14:paraId="223F6D00" w14:textId="77777777" w:rsidR="003A279A" w:rsidRDefault="003A279A" w:rsidP="003A279A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  <w:iCs/>
        </w:rPr>
      </w:pPr>
    </w:p>
    <w:p w14:paraId="2927616A" w14:textId="7F5159B1" w:rsidR="003A279A" w:rsidRPr="003A279A" w:rsidRDefault="00F47B28" w:rsidP="003A279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Obec nereflektuje, že zákon o místních poplatcích s účinností od 1. ledna 2021 upravuje místní poplatek za obecní systém odpadového hospodářství a poplatek za odkládání komunálního odpadu z nemovité věci. Zákon o místních poplatcích umožňuje obcím zvolit si takové poplatkové schéma, které nejlépe odpovídá místním podmínkám v obci a které nejlépe zohledňuje množství vyprodukovaného odpadu v obci. Obce zásadně nejsou oprávněny postupovat v otázkách spadajících pod režim kogentních ustanovení zákona upravujícího ukládání daní a poplatků podle čl. 11 odst. 5 Listiny základních práv a svobod jinak, než v něm výslovně stanoveným způsobem (viz nález Ústavního soudu ze dne 20. března 2007 </w:t>
      </w:r>
      <w:proofErr w:type="spellStart"/>
      <w:r>
        <w:rPr>
          <w:rFonts w:ascii="Arial" w:hAnsi="Arial" w:cs="Arial"/>
          <w:iCs/>
        </w:rPr>
        <w:t>sp</w:t>
      </w:r>
      <w:proofErr w:type="spellEnd"/>
      <w:r>
        <w:rPr>
          <w:rFonts w:ascii="Arial" w:hAnsi="Arial" w:cs="Arial"/>
          <w:iCs/>
        </w:rPr>
        <w:t xml:space="preserve">. zn. </w:t>
      </w:r>
      <w:proofErr w:type="spellStart"/>
      <w:r>
        <w:rPr>
          <w:rFonts w:ascii="Arial" w:hAnsi="Arial" w:cs="Arial"/>
          <w:iCs/>
        </w:rPr>
        <w:t>Pl</w:t>
      </w:r>
      <w:proofErr w:type="spellEnd"/>
      <w:r>
        <w:rPr>
          <w:rFonts w:ascii="Arial" w:hAnsi="Arial" w:cs="Arial"/>
          <w:iCs/>
        </w:rPr>
        <w:t>. ÚS 20/06).</w:t>
      </w:r>
    </w:p>
    <w:p w14:paraId="5C544D53" w14:textId="77777777" w:rsidR="003A279A" w:rsidRDefault="003A279A" w:rsidP="003A279A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  <w:iCs/>
        </w:rPr>
      </w:pPr>
    </w:p>
    <w:p w14:paraId="7C748AF1" w14:textId="5C82858A" w:rsidR="00F47B28" w:rsidRPr="003A279A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Má-li obec za to, že jí zvolený místní poplatek za obecní systém odpadového hospodářství není ve vztahu k</w:t>
      </w:r>
      <w:r>
        <w:rPr>
          <w:rFonts w:ascii="Arial" w:eastAsia="Calibri" w:hAnsi="Arial" w:cs="Arial"/>
        </w:rPr>
        <w:t xml:space="preserve"> zákonem vymezeným kategoriím poplatníků spravedlivý, může zavést místní poplatek za odkládání komunálního odpadu z nemovité věci,</w:t>
      </w:r>
      <w:r>
        <w:t xml:space="preserve"> </w:t>
      </w:r>
      <w:r>
        <w:rPr>
          <w:rFonts w:ascii="Arial" w:eastAsia="Calibri" w:hAnsi="Arial" w:cs="Arial"/>
        </w:rPr>
        <w:t xml:space="preserve">který není paušálního charakteru, ale jeho výše se odvíjí od množství skutečně odkládaného odpadu z nemovité věci, případně dle volby obce od poplatníkem objednané kapacity soustřeďovacích prostředků. Nicméně modifikace místního poplatku za komunální odpad, která popírá základní mechanismus </w:t>
      </w:r>
      <w:proofErr w:type="gramStart"/>
      <w:r>
        <w:rPr>
          <w:rFonts w:ascii="Arial" w:eastAsia="Calibri" w:hAnsi="Arial" w:cs="Arial"/>
        </w:rPr>
        <w:t>toho</w:t>
      </w:r>
      <w:proofErr w:type="gramEnd"/>
      <w:r>
        <w:rPr>
          <w:rFonts w:ascii="Arial" w:eastAsia="Calibri" w:hAnsi="Arial" w:cs="Arial"/>
        </w:rPr>
        <w:t xml:space="preserve"> kterého poplatkového schématu odporuje kogentním ustanovením zákona o místních poplatcích. Platí proto konkrétně, že modifikace poplatku za obecní systém odpadového hospodářství provedená takovým způsobem, že jeho výše zohledňuje rozsah vyprodukovaného odpadu, odporuje kogentním ustanoveném zákona o místních poplatcích, protože kombinuje základní parametry dvou rozdílných poplatků a současně narušuje svůj základní parametr spočívající v rovném rozložení nákladů mezi jednotlivé skupiny poplatníků.</w:t>
      </w:r>
    </w:p>
    <w:p w14:paraId="1649ED6E" w14:textId="77777777" w:rsidR="003A279A" w:rsidRDefault="003A279A" w:rsidP="003A279A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1E0330C5" w14:textId="2D2656D3" w:rsidR="00F47B28" w:rsidRPr="003A279A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Ačkoliv je obec zákonem o místních poplatcích zmocněna stanovit v obecně závazné vyhlášce (viz výše) osvobození a úlevy od poplatku, poskytnutí osvobození od poplatku pouze jedné skupině poplatníků (v daném případě každé osobě přihlášení v obci), musí mít takové osvobození od poplatku </w:t>
      </w:r>
      <w:r>
        <w:rPr>
          <w:rFonts w:ascii="Arial" w:hAnsi="Arial" w:cs="Arial"/>
          <w:b/>
        </w:rPr>
        <w:t>vždy návaznost na předmět poplatku nebo specifické postavení poplatníka, které má vliv na jeho vztah k poplatkové povinnosti</w:t>
      </w:r>
      <w:r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Smyslem a účelem osvobození a úlev od poplatku má být zmírnění či eliminace případných negativních </w:t>
      </w:r>
      <w:r>
        <w:rPr>
          <w:rFonts w:ascii="Arial" w:hAnsi="Arial" w:cs="Arial"/>
          <w:spacing w:val="-3"/>
        </w:rPr>
        <w:t>dopadů zavedení místního poplatku na vybrané skupiny obyvatel (ať už ekonomických,</w:t>
      </w:r>
      <w:r>
        <w:rPr>
          <w:rFonts w:ascii="Arial" w:hAnsi="Arial" w:cs="Arial"/>
        </w:rPr>
        <w:t xml:space="preserve"> sociálních či jiných). S tím rovněž souvisí i skutečnost, že </w:t>
      </w:r>
      <w:r>
        <w:rPr>
          <w:rFonts w:ascii="Arial" w:hAnsi="Arial" w:cs="Arial"/>
          <w:b/>
          <w:bCs/>
        </w:rPr>
        <w:t>osvobození či úlevy od poplatku nesmějí sloužit k obcházení zákona nebo být založeny na ústavně nepřípustném rozlišování (diskriminaci).</w:t>
      </w:r>
    </w:p>
    <w:p w14:paraId="32DDA988" w14:textId="77777777" w:rsidR="003A279A" w:rsidRDefault="003A279A" w:rsidP="003A279A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7B72BAB9" w14:textId="7293D91C" w:rsidR="00F47B28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Listina základních práv a svobod v čl. 1 uvádí: </w:t>
      </w:r>
      <w:r>
        <w:rPr>
          <w:rFonts w:ascii="Arial" w:hAnsi="Arial" w:cs="Arial"/>
          <w:i/>
          <w:iCs/>
        </w:rPr>
        <w:t>„</w:t>
      </w:r>
      <w:r>
        <w:rPr>
          <w:rFonts w:ascii="Arial" w:hAnsi="Arial" w:cs="Arial"/>
        </w:rPr>
        <w:t>[l]</w:t>
      </w:r>
      <w:proofErr w:type="spellStart"/>
      <w:r>
        <w:rPr>
          <w:rFonts w:ascii="Arial" w:hAnsi="Arial" w:cs="Arial"/>
          <w:i/>
          <w:iCs/>
        </w:rPr>
        <w:t>idé</w:t>
      </w:r>
      <w:proofErr w:type="spellEnd"/>
      <w:r>
        <w:rPr>
          <w:rFonts w:ascii="Arial" w:hAnsi="Arial" w:cs="Arial"/>
          <w:i/>
          <w:iCs/>
        </w:rPr>
        <w:t xml:space="preserve"> jsou svobodní a rovni v důstojnosti i právech.“</w:t>
      </w:r>
      <w:r>
        <w:rPr>
          <w:rFonts w:ascii="Arial" w:hAnsi="Arial" w:cs="Arial"/>
        </w:rPr>
        <w:t xml:space="preserve">. Podle Nálezu Ústavního soudu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</w:t>
      </w:r>
      <w:proofErr w:type="spellStart"/>
      <w:r>
        <w:rPr>
          <w:rFonts w:ascii="Arial" w:hAnsi="Arial" w:cs="Arial"/>
        </w:rPr>
        <w:t>Pl</w:t>
      </w:r>
      <w:proofErr w:type="spellEnd"/>
      <w:r>
        <w:rPr>
          <w:rFonts w:ascii="Arial" w:hAnsi="Arial" w:cs="Arial"/>
        </w:rPr>
        <w:t xml:space="preserve">. ÚS 15/02 „(…) </w:t>
      </w:r>
      <w:r>
        <w:rPr>
          <w:rFonts w:ascii="Arial" w:hAnsi="Arial" w:cs="Arial"/>
          <w:i/>
        </w:rPr>
        <w:t>ne každé nerovné zacházení s různými subjekty lze kvalifikovat jako porušení principu rovnosti, tedy jako protiprávní diskriminaci jedněch subjektů ve srovnání se subjekty jinými. Aby k porušení došlo, musí být splněno několik podmínek: s různými subjekty, které se nacházejí ve stejné nebo srovnatelné situaci, se zachází rozdílným způsobem, aniž by existovaly objektivní a rozumné důvody pro uplatněný rozdílný přístup.“</w:t>
      </w:r>
      <w:r>
        <w:rPr>
          <w:rFonts w:ascii="Arial" w:hAnsi="Arial" w:cs="Arial"/>
        </w:rPr>
        <w:t>. Pokud by tedy byly důvody pro osvobození poplatníků z titulu přihlášení v obci od poplatku objektivně a rozumně ospravedlnitelné, tj. pokud by sledovaly legitimní cíl a pokud by byly použité prostředky sledovanému cíli přiměřené, nebylo by možno považovat zvýhodnění této skupiny poplatníků daným osvobozením za diskriminaci ostatních poplatníků hradících poplatek.</w:t>
      </w:r>
    </w:p>
    <w:p w14:paraId="3A7B8EA5" w14:textId="77777777" w:rsidR="003A279A" w:rsidRDefault="003A279A" w:rsidP="003A279A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7B723E25" w14:textId="1BAFE681" w:rsidR="00F47B28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 nálezu Ústavního soudu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 xml:space="preserve">. zn. </w:t>
      </w:r>
      <w:proofErr w:type="spellStart"/>
      <w:r>
        <w:rPr>
          <w:rFonts w:ascii="Arial" w:hAnsi="Arial" w:cs="Arial"/>
        </w:rPr>
        <w:t>Pl</w:t>
      </w:r>
      <w:proofErr w:type="spellEnd"/>
      <w:r>
        <w:rPr>
          <w:rFonts w:ascii="Arial" w:hAnsi="Arial" w:cs="Arial"/>
        </w:rPr>
        <w:t xml:space="preserve">. ÚS 48/18: </w:t>
      </w:r>
      <w:r>
        <w:rPr>
          <w:rFonts w:ascii="Arial" w:hAnsi="Arial" w:cs="Arial"/>
          <w:i/>
          <w:iCs/>
        </w:rPr>
        <w:t>„</w:t>
      </w:r>
      <w:r>
        <w:rPr>
          <w:rFonts w:ascii="Arial" w:hAnsi="Arial" w:cs="Arial"/>
        </w:rPr>
        <w:t>[p]</w:t>
      </w:r>
      <w:proofErr w:type="spellStart"/>
      <w:r>
        <w:rPr>
          <w:rFonts w:ascii="Arial" w:hAnsi="Arial" w:cs="Arial"/>
          <w:i/>
          <w:iCs/>
        </w:rPr>
        <w:t>orušením</w:t>
      </w:r>
      <w:proofErr w:type="spellEnd"/>
      <w:r>
        <w:rPr>
          <w:rFonts w:ascii="Arial" w:hAnsi="Arial" w:cs="Arial"/>
          <w:i/>
          <w:iCs/>
        </w:rPr>
        <w:t xml:space="preserve"> principu rovného zacházení není, jestliže obec v mezích své samostatné působnosti v oblasti odpadového hospodářství z legitimních důvodů a přiměřeným způsobem zvýhodňuje osoby s trvalým pobytem oproti osobám bez takového pobytu.</w:t>
      </w:r>
      <w:r>
        <w:rPr>
          <w:rFonts w:ascii="Arial" w:hAnsi="Arial" w:cs="Arial"/>
          <w:i/>
        </w:rPr>
        <w:t>“</w:t>
      </w:r>
      <w:r>
        <w:rPr>
          <w:rFonts w:ascii="Arial" w:hAnsi="Arial" w:cs="Arial"/>
        </w:rPr>
        <w:t xml:space="preserve">. Obec je oprávněna </w:t>
      </w:r>
      <w:r>
        <w:rPr>
          <w:rFonts w:ascii="Arial" w:hAnsi="Arial" w:cs="Arial"/>
        </w:rPr>
        <w:lastRenderedPageBreak/>
        <w:t xml:space="preserve">zvýhodnit osoby </w:t>
      </w:r>
      <w:r w:rsidR="00B60E24">
        <w:rPr>
          <w:rFonts w:ascii="Arial" w:hAnsi="Arial" w:cs="Arial"/>
        </w:rPr>
        <w:t xml:space="preserve">přihlášené </w:t>
      </w:r>
      <w:r>
        <w:rPr>
          <w:rFonts w:ascii="Arial" w:hAnsi="Arial" w:cs="Arial"/>
        </w:rPr>
        <w:t xml:space="preserve">v obci, pokud k tomu má legitimní důvod a poskytované zvýhodnění je přiměřené obcí sledovanému cíli. Podle Ústavního soudu pak lze za legitimní cíl považovat plnění úkolů obce vyplývajících z § 35 odst. 2 zákona o obcích; dle tohoto ustanovení obec v samostatné působnosti ve svém územním obvodu </w:t>
      </w:r>
      <w:r>
        <w:rPr>
          <w:rFonts w:ascii="Arial" w:hAnsi="Arial" w:cs="Arial"/>
          <w:i/>
        </w:rPr>
        <w:t>dále pečuje v souladu s místními předpoklady a s místními zvyklostmi o vytváření podmínek pro rozvoj sociální péče a pro uspokojování potřeb svých občanů. Jde především o</w:t>
      </w:r>
      <w:r w:rsidR="00B60E24">
        <w:rPr>
          <w:rFonts w:ascii="Arial" w:hAnsi="Arial" w:cs="Arial"/>
          <w:i/>
        </w:rPr>
        <w:t> </w:t>
      </w:r>
      <w:r>
        <w:rPr>
          <w:rFonts w:ascii="Arial" w:hAnsi="Arial" w:cs="Arial"/>
          <w:i/>
        </w:rPr>
        <w:t>uspokojování potřeby bydlení, ochrany a rozvoje zdraví, dopravy a spojů, potřeby informací, výchovy a vzdělávání, celkového kulturního rozvoje a ochrany veřejného pořádku</w:t>
      </w:r>
      <w:r>
        <w:rPr>
          <w:rFonts w:ascii="Arial" w:hAnsi="Arial" w:cs="Arial"/>
        </w:rPr>
        <w:t xml:space="preserve">. Pokud se tak tedy bude dít v souladu s výše uvedenými úkoly obce, může obec osoby </w:t>
      </w:r>
      <w:r w:rsidR="00B60E24">
        <w:rPr>
          <w:rFonts w:ascii="Arial" w:hAnsi="Arial" w:cs="Arial"/>
        </w:rPr>
        <w:t>přihlášené</w:t>
      </w:r>
      <w:r>
        <w:rPr>
          <w:rFonts w:ascii="Arial" w:hAnsi="Arial" w:cs="Arial"/>
        </w:rPr>
        <w:t xml:space="preserve"> v obci určitým způsobem zvýhodnit.</w:t>
      </w:r>
    </w:p>
    <w:p w14:paraId="1CE99875" w14:textId="77777777" w:rsidR="003A279A" w:rsidRDefault="003A279A" w:rsidP="003A279A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2E565BA4" w14:textId="2760E8D2" w:rsidR="003A279A" w:rsidRPr="003A279A" w:rsidRDefault="00F47B28" w:rsidP="003A279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Obec Holoubkov však Ministerstvu vnitra nepředložila žádné legitimní důvody pro odlišené zacházení s jednotlivými zákonem vymezenými poplatníky; pouze konstatovala vyjádřením ze dne 23. května 2023, že setrvává na platnosti osvobození od poplatku uvedeného v čl. 7 odst. 4 OZV.</w:t>
      </w:r>
    </w:p>
    <w:p w14:paraId="036AAC08" w14:textId="77777777" w:rsidR="003A279A" w:rsidRDefault="003A279A" w:rsidP="003A279A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35EBD07C" w14:textId="51D0B5EA" w:rsidR="00F47B28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Ministerstvo připomíná (viz bod 13 tohoto rozhodnutí), že </w:t>
      </w:r>
      <w:r>
        <w:rPr>
          <w:rFonts w:ascii="Arial" w:hAnsi="Arial" w:cs="Arial"/>
          <w:bCs/>
        </w:rPr>
        <w:t xml:space="preserve">zpravidla akceptuje, pokud obce od příslušného poplatku osvobodí (případně poskytnou úlevu) dětem či mladistvým, případně nezaopatřeným dětem žijícím ve společné domácnosti; tyto případy lze ospravedlnit sociálními a ekonomickými důvody, neboť se zpravidla jedná o osoby bez vlastního příjmu, za které poplatek platí jejich zákonní zástupci. </w:t>
      </w:r>
      <w:r>
        <w:rPr>
          <w:rFonts w:ascii="Arial" w:hAnsi="Arial" w:cs="Arial"/>
        </w:rPr>
        <w:t>Nicméně Ministerstvo vnitra nemůže akceptovat osvobození pouze z toho důvodu, že tyto osoby jsou přihlášeny k pobytu. V této skupině osob jsou nepochybně ve značném počtu i osoby, které budou mít zpravidla vlastní příjem a případné poskytnutí osvobození nelze relevantně zdůvodnit, neboť naprosto popírá základní konstrukci poplatku.</w:t>
      </w:r>
    </w:p>
    <w:p w14:paraId="4EDFB25E" w14:textId="77777777" w:rsidR="003A279A" w:rsidRDefault="003A279A" w:rsidP="003A279A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32A9FC6A" w14:textId="5A25E026" w:rsidR="00F47B28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vztahu k osvobození od poplatku dle čl. 7 odst. 4 </w:t>
      </w:r>
      <w:r w:rsidR="00B60E24">
        <w:rPr>
          <w:rFonts w:ascii="Arial" w:hAnsi="Arial" w:cs="Arial"/>
        </w:rPr>
        <w:t xml:space="preserve">OZV </w:t>
      </w:r>
      <w:r>
        <w:rPr>
          <w:rFonts w:ascii="Arial" w:hAnsi="Arial" w:cs="Arial"/>
        </w:rPr>
        <w:t xml:space="preserve">tak obec Holoubkov modifikuje základní zákonem předpokládané parametry místního poplatku za obecní systém odpadového hospodářství v rozporu s § 10d odst. 2, § 10e a § 10f zákona o místních poplatcích, aniž by pro to měla věcné důvody opodstatněné zvláštnostmi svých místních poměrů. </w:t>
      </w:r>
    </w:p>
    <w:p w14:paraId="554E92E9" w14:textId="77777777" w:rsidR="003A279A" w:rsidRDefault="003A279A" w:rsidP="003A279A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3E454068" w14:textId="4BD08872" w:rsidR="00F47B28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Jak bylo uvedeno v bodě 6 tohoto rozhodnutí, úlevy (popř. osvobození) od poplatku musí mít vždy návaznost na předmět poplatku nebo specifické postavení poplatníka, která má vliv na jeho vztah k poplatkové povinnosti. Smyslem a účelem osvobození a úlev od poplatku má být zmírnění či eliminace případných negativních dopadů zavedení místního poplatku na vybrané skupiny obyvatel (ať už ekonomických nebo sociálních), což však v daném případě není předmětem stanovené právní úpravy daného osvobození.</w:t>
      </w:r>
    </w:p>
    <w:p w14:paraId="1A0F542F" w14:textId="77777777" w:rsidR="003A279A" w:rsidRDefault="003A279A" w:rsidP="003A279A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01C49DB7" w14:textId="77777777" w:rsidR="00F47B28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Obecně závazná vyhláška jako podzákonný právní předpis nemůže upravovat to, co je již kogentně upraveno v zákonech, tedy v předpisech vyšší právní síly. Je proto třeba dbát na to, aby povinnosti stanovené v obecně závazné vyhlášce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nepřekročily rámec samostatné působnosti a aby také nebyly regulovány činnosti, které obec v samostatné působnosti regulovat nemůže.</w:t>
      </w:r>
    </w:p>
    <w:p w14:paraId="6EE33757" w14:textId="77777777" w:rsidR="00F47B28" w:rsidRDefault="00F47B28" w:rsidP="00F47B28">
      <w:pPr>
        <w:pStyle w:val="Text"/>
        <w:spacing w:after="240"/>
        <w:jc w:val="center"/>
        <w:rPr>
          <w:b/>
          <w:bCs/>
          <w:i/>
        </w:rPr>
      </w:pPr>
      <w:r>
        <w:rPr>
          <w:b/>
          <w:bCs/>
          <w:i/>
        </w:rPr>
        <w:t>d) Závěr třetího kroku „testu čtyř kroků“</w:t>
      </w:r>
    </w:p>
    <w:p w14:paraId="1DCEF7DA" w14:textId="6EEAE70A" w:rsidR="00F47B28" w:rsidRPr="003A279A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Ministerstvo vnitra konstatuje, že čl. 7 odst. 4 OZV nemohly obstát v třetím kroku „testu čtyř kroků“, neboť s přihlédnutím ke všem vyloženým okolnostem obec Holoubkov při stanovování osvobození nereflektovala zákonodárcem stanovené základní parametry poplatku. V případě poplatku za obecní systém odpadového hospodářství tak nelze plošně stanovit různou výši sazby pro osoby v obci přihlášené a osoby vlastnící zde zákonem stanovenou nemovitou věc, v níž není přihlášena žádná fyzická osoba, a to ani prostřednictvím osvobození či úlev. </w:t>
      </w:r>
    </w:p>
    <w:p w14:paraId="44AE61B2" w14:textId="77777777" w:rsidR="003A279A" w:rsidRDefault="003A279A" w:rsidP="003A279A">
      <w:pPr>
        <w:pStyle w:val="Odstavecseseznamem"/>
        <w:autoSpaceDE w:val="0"/>
        <w:autoSpaceDN w:val="0"/>
        <w:adjustRightInd w:val="0"/>
        <w:spacing w:after="360"/>
        <w:ind w:left="0"/>
        <w:jc w:val="both"/>
        <w:rPr>
          <w:rFonts w:ascii="Arial" w:hAnsi="Arial" w:cs="Arial"/>
        </w:rPr>
      </w:pPr>
    </w:p>
    <w:p w14:paraId="28071853" w14:textId="77777777" w:rsidR="00F47B28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shora uvedených důvodů je jednoznačně patrné, že </w:t>
      </w:r>
      <w:r>
        <w:rPr>
          <w:rFonts w:ascii="Arial" w:hAnsi="Arial" w:cs="Arial"/>
          <w:b/>
        </w:rPr>
        <w:t>obec Holoubkov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při stanovení osvobození v čl. 7 odst. 4 OZV postupovala v rozporu s § 35 odst. 3 písm. a) zákona o obcích ve spojení s § 10e a násl. zákona o místních poplatcích a čl. 1 Listiny základních práv a svobod.</w:t>
      </w:r>
      <w:r>
        <w:rPr>
          <w:rFonts w:ascii="Arial" w:hAnsi="Arial" w:cs="Arial"/>
        </w:rPr>
        <w:t xml:space="preserve"> </w:t>
      </w:r>
    </w:p>
    <w:p w14:paraId="333CEF7C" w14:textId="77777777" w:rsidR="00F47B28" w:rsidRDefault="00F47B28" w:rsidP="00F47B28">
      <w:pPr>
        <w:pStyle w:val="Text"/>
        <w:spacing w:after="240"/>
        <w:jc w:val="center"/>
        <w:rPr>
          <w:b/>
          <w:bCs/>
        </w:rPr>
      </w:pPr>
      <w:r>
        <w:rPr>
          <w:b/>
          <w:bCs/>
        </w:rPr>
        <w:t>III. D Čtvrtý krok testu – přezkum, zda obec při vydávání OZV nejednala „zjevně nerozumně“</w:t>
      </w:r>
    </w:p>
    <w:p w14:paraId="5DC4D61B" w14:textId="6F3904B2" w:rsidR="003A279A" w:rsidRDefault="00F47B28" w:rsidP="003A279A">
      <w:pPr>
        <w:pStyle w:val="Text"/>
        <w:numPr>
          <w:ilvl w:val="0"/>
          <w:numId w:val="3"/>
        </w:numPr>
        <w:spacing w:after="360"/>
        <w:ind w:left="0" w:firstLine="0"/>
        <w:jc w:val="both"/>
      </w:pPr>
      <w:r>
        <w:rPr>
          <w:bCs/>
        </w:rPr>
        <w:t xml:space="preserve">S přihlédnutím ke konstantní judikatuře Ústavního soudu [např. nález Ústavního soudu ze dne 13. září 2006, </w:t>
      </w:r>
      <w:proofErr w:type="spellStart"/>
      <w:r>
        <w:rPr>
          <w:bCs/>
        </w:rPr>
        <w:t>sp</w:t>
      </w:r>
      <w:proofErr w:type="spellEnd"/>
      <w:r>
        <w:rPr>
          <w:bCs/>
        </w:rPr>
        <w:t xml:space="preserve">. zn. </w:t>
      </w:r>
      <w:proofErr w:type="spellStart"/>
      <w:r>
        <w:rPr>
          <w:bCs/>
        </w:rPr>
        <w:t>Pl.ÚS</w:t>
      </w:r>
      <w:proofErr w:type="spellEnd"/>
      <w:r>
        <w:rPr>
          <w:bCs/>
        </w:rPr>
        <w:t xml:space="preserve"> 57/05 (Nový Bor), body 23 a 24] musí být aplikace principu „nerozumnosti" velmi restriktivní a měla by se omezit jen na případy, kdy se rozhodnutí obce jeví jako zjevně absurdní. Za zjevnou absurdnost lze přitom považovat jen případ, kdy provedený přezkum vede jen k jedinému možnému (v protikladu k preferovanému nebo rozumnému) závěru, který je absurdní, a tento dozorovým orgánem rozpoznaný závěr zůstal naopak obcí nerozpoznán. Aplikace principu nerozumnosti tedy přichází v úvahu jen za extrémních okolností. </w:t>
      </w:r>
      <w:r>
        <w:t>Ministerstvo vnitra přitom v této souvislosti uvádí, že všechny důvody, které by bylo možné potenciálně označit i za nerozumné vylíčilo již ve výše uvedených krocích přezkumu (konkrétně nerozumnost spočívající v poskytnutí osvobození od poplatku v návaznosti na čestné přihlášení v obci), přičemž další samostatné důvody „nerozumnosti“ na tomto místě nekonstatuje.</w:t>
      </w:r>
    </w:p>
    <w:p w14:paraId="27C57850" w14:textId="77777777" w:rsidR="00F47B28" w:rsidRDefault="00F47B28" w:rsidP="00F47B28">
      <w:pPr>
        <w:pStyle w:val="Text"/>
        <w:numPr>
          <w:ilvl w:val="0"/>
          <w:numId w:val="2"/>
        </w:numPr>
        <w:spacing w:after="240"/>
        <w:ind w:left="0" w:firstLine="284"/>
        <w:jc w:val="center"/>
        <w:rPr>
          <w:b/>
          <w:bCs/>
        </w:rPr>
      </w:pPr>
      <w:bookmarkStart w:id="12" w:name="_Hlk128947250"/>
      <w:r>
        <w:rPr>
          <w:b/>
          <w:bCs/>
        </w:rPr>
        <w:t>Návrhy a námitky účastníka řízení</w:t>
      </w:r>
    </w:p>
    <w:bookmarkEnd w:id="12"/>
    <w:p w14:paraId="5DA5537A" w14:textId="77777777" w:rsidR="00F47B28" w:rsidRDefault="00F47B28" w:rsidP="00F47B28">
      <w:pPr>
        <w:pStyle w:val="Text"/>
        <w:numPr>
          <w:ilvl w:val="0"/>
          <w:numId w:val="3"/>
        </w:numPr>
        <w:spacing w:after="360"/>
        <w:ind w:left="0" w:firstLine="0"/>
        <w:jc w:val="both"/>
        <w:rPr>
          <w:b/>
          <w:bCs/>
        </w:rPr>
      </w:pPr>
      <w:r>
        <w:t xml:space="preserve">V souladu s § 68 odst. 3 správního řádu je správní orgán v odůvodnění svého rozhodnutí povinen uvést, jakým způsobem se vypořádal s návrhy a námitkami účastníka řízení a s jeho vyjádřením k podkladům rozhodnutí. Účastník řízení však Ministerstvu vnitra nepředložil žádné legitimní důvody pro odlišené zacházení s jednotlivými zákonem vymezenými poplatníky, či jiné vyjádření ve věci, pouze </w:t>
      </w:r>
      <w:r>
        <w:lastRenderedPageBreak/>
        <w:t>konstatoval vyjádřením ze dne 23. května 2023, že setrvává na platnosti osvobození od poplatku uvedeného v čl. 7 odst. 4 OZV.</w:t>
      </w:r>
    </w:p>
    <w:p w14:paraId="2A8054ED" w14:textId="77777777" w:rsidR="00F47B28" w:rsidRDefault="00F47B28" w:rsidP="00F47B28">
      <w:pPr>
        <w:pStyle w:val="Text"/>
        <w:spacing w:after="120"/>
        <w:jc w:val="center"/>
        <w:rPr>
          <w:b/>
        </w:rPr>
      </w:pPr>
      <w:r>
        <w:rPr>
          <w:b/>
        </w:rPr>
        <w:t>V. Závěr</w:t>
      </w:r>
    </w:p>
    <w:p w14:paraId="1846C744" w14:textId="43F7550C" w:rsidR="00F47B28" w:rsidRDefault="00F47B28" w:rsidP="00F47B2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Na základě výše uvedených důvodů Ministerstvo vnitra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shledalo čl.</w:t>
      </w:r>
      <w:r w:rsidR="00C32A49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7 odst. 4 OZV v rozporu s § 35 odst. 3 písm. a) zákona o obcích ve spojení s § 10e a násl. zákona o místních poplatcích a čl. 1 Listiny základních práv a svobod.</w:t>
      </w:r>
    </w:p>
    <w:bookmarkEnd w:id="11"/>
    <w:p w14:paraId="6E5733E6" w14:textId="77777777" w:rsidR="00F47B28" w:rsidRDefault="00F47B28" w:rsidP="00F47B28">
      <w:pPr>
        <w:pStyle w:val="Text"/>
        <w:numPr>
          <w:ilvl w:val="0"/>
          <w:numId w:val="3"/>
        </w:numPr>
        <w:spacing w:after="240"/>
        <w:ind w:left="0" w:firstLine="0"/>
        <w:jc w:val="both"/>
      </w:pPr>
      <w:r>
        <w:t xml:space="preserve">Vzhledem k tomu, že se účastník řízení neztotožňuje s právním názorem Ministerstva vnitra a z jeho jednání vyplývá, že zde není dán předpoklad, že by ke zjednání nápravy vyhlášky přistoupil, Ministerstvo vnitra stanovilo </w:t>
      </w:r>
      <w:r>
        <w:rPr>
          <w:b/>
        </w:rPr>
        <w:t>k provedení nápravy OZV lhůtu 15 dnů ode dne doručení rozhodnutí</w:t>
      </w:r>
      <w:r>
        <w:t>.</w:t>
      </w:r>
    </w:p>
    <w:p w14:paraId="226EE13D" w14:textId="77777777" w:rsidR="00F47B28" w:rsidRDefault="00F47B28" w:rsidP="00F47B28">
      <w:pPr>
        <w:pStyle w:val="Text"/>
        <w:numPr>
          <w:ilvl w:val="0"/>
          <w:numId w:val="3"/>
        </w:numPr>
        <w:spacing w:after="240"/>
        <w:ind w:left="0" w:firstLine="0"/>
        <w:jc w:val="both"/>
      </w:pPr>
      <w:r>
        <w:t>Obec Holoubkov bude dle ustanovení § 123 odst. 1 zákona o obcích v případě zjednání nápravy informovat Ministerstvo vnitra o zjednané nápravě, aby bylo možno Ministerstvem vnitra toto rozhodnutí zrušit neprodleně po obdržení informace o zjednání nápravy. Přílohou této informace bude i příslušná obecně závazná vyhláška, kterou bude náprava provedena.</w:t>
      </w:r>
    </w:p>
    <w:p w14:paraId="7571B424" w14:textId="61C3732E" w:rsidR="00F47B28" w:rsidRPr="003A279A" w:rsidRDefault="00F47B28" w:rsidP="00DC6141">
      <w:pPr>
        <w:pStyle w:val="Text"/>
        <w:numPr>
          <w:ilvl w:val="0"/>
          <w:numId w:val="3"/>
        </w:numPr>
        <w:ind w:left="0" w:firstLine="0"/>
        <w:jc w:val="both"/>
        <w:rPr>
          <w:b/>
          <w:bCs/>
        </w:rPr>
      </w:pPr>
      <w:r w:rsidRPr="003A279A">
        <w:rPr>
          <w:b/>
        </w:rPr>
        <w:t>Účinnost</w:t>
      </w:r>
      <w:r>
        <w:t xml:space="preserve"> OZV je pozastavena </w:t>
      </w:r>
      <w:r w:rsidRPr="003A279A">
        <w:rPr>
          <w:b/>
        </w:rPr>
        <w:t>dnem doručení</w:t>
      </w:r>
      <w:r>
        <w:t xml:space="preserve"> tohoto rozhodnutí účastníku řízení.</w:t>
      </w:r>
    </w:p>
    <w:p w14:paraId="2226A925" w14:textId="77777777" w:rsidR="003A279A" w:rsidRPr="003A279A" w:rsidRDefault="003A279A" w:rsidP="003A279A">
      <w:pPr>
        <w:pStyle w:val="Text"/>
        <w:jc w:val="both"/>
        <w:rPr>
          <w:b/>
          <w:bCs/>
        </w:rPr>
      </w:pPr>
    </w:p>
    <w:p w14:paraId="2618BF64" w14:textId="77777777" w:rsidR="00F47B28" w:rsidRDefault="00F47B28" w:rsidP="00F47B28">
      <w:pPr>
        <w:jc w:val="center"/>
        <w:rPr>
          <w:rFonts w:ascii="Arial" w:hAnsi="Arial" w:cs="Arial"/>
          <w:b/>
          <w:bCs/>
          <w:spacing w:val="60"/>
        </w:rPr>
      </w:pPr>
      <w:r>
        <w:rPr>
          <w:rFonts w:ascii="Arial" w:hAnsi="Arial" w:cs="Arial"/>
          <w:b/>
          <w:bCs/>
          <w:spacing w:val="60"/>
        </w:rPr>
        <w:t>Poučení o opravném prostředku:</w:t>
      </w:r>
    </w:p>
    <w:p w14:paraId="1E7331FA" w14:textId="77777777" w:rsidR="00F47B28" w:rsidRDefault="00F47B28" w:rsidP="00F47B28">
      <w:pPr>
        <w:pStyle w:val="Zkladntext"/>
        <w:spacing w:after="0"/>
        <w:jc w:val="center"/>
        <w:rPr>
          <w:rFonts w:ascii="Arial" w:eastAsia="MS Mincho" w:hAnsi="Arial" w:cs="Arial"/>
          <w:b/>
        </w:rPr>
      </w:pPr>
    </w:p>
    <w:p w14:paraId="445104B5" w14:textId="77777777" w:rsidR="00F47B28" w:rsidRDefault="00F47B28" w:rsidP="00C32A49">
      <w:pPr>
        <w:pStyle w:val="Zkladntextodsazen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Proti tomuto rozhodnutí lze podle § 152 odst. 1 správního řádu podat rozklad ve lhůtě 15 dnů ode dne jeho oznámení (§ 83 odst. 1 správního řádu). Rozklad se podává ministrovi vnitra prostřednictvím Ministerstva vnitra, odboru veřejné správy, dozoru a kontroly, nám. Hrdinů 3, 140 21 Praha 4. Podání rozkladu nemá odkladný účinek.</w:t>
      </w:r>
    </w:p>
    <w:p w14:paraId="58E9DDF9" w14:textId="4B330C60" w:rsidR="00F47B28" w:rsidRDefault="00F47B28" w:rsidP="00F47B28">
      <w:pPr>
        <w:pStyle w:val="Zkladntextodsazen"/>
        <w:spacing w:line="300" w:lineRule="exact"/>
        <w:ind w:firstLine="539"/>
        <w:rPr>
          <w:rFonts w:ascii="Arial" w:hAnsi="Arial" w:cs="Arial"/>
        </w:rPr>
      </w:pPr>
    </w:p>
    <w:p w14:paraId="006E9712" w14:textId="77777777" w:rsidR="00C32A49" w:rsidRDefault="00C32A49" w:rsidP="00F47B28">
      <w:pPr>
        <w:pStyle w:val="Zkladntextodsazen"/>
        <w:spacing w:line="300" w:lineRule="exact"/>
        <w:ind w:firstLine="539"/>
        <w:rPr>
          <w:rFonts w:ascii="Arial" w:hAnsi="Arial" w:cs="Arial"/>
        </w:rPr>
      </w:pPr>
    </w:p>
    <w:p w14:paraId="3613B52B" w14:textId="77777777" w:rsidR="00290C57" w:rsidRDefault="00290C57" w:rsidP="00F47B28">
      <w:pPr>
        <w:pStyle w:val="Zkladntextodsazen"/>
        <w:spacing w:line="300" w:lineRule="exact"/>
        <w:ind w:firstLine="539"/>
        <w:rPr>
          <w:rFonts w:ascii="Arial" w:hAnsi="Arial" w:cs="Arial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F47B28" w14:paraId="4BE45ECB" w14:textId="77777777" w:rsidTr="00F47B28">
        <w:tc>
          <w:tcPr>
            <w:tcW w:w="4020" w:type="dxa"/>
            <w:hideMark/>
          </w:tcPr>
          <w:p w14:paraId="1EF58462" w14:textId="77777777" w:rsidR="00F47B28" w:rsidRDefault="00F47B28">
            <w:pPr>
              <w:pStyle w:val="Text"/>
              <w:jc w:val="center"/>
            </w:pPr>
            <w:r>
              <w:fldChar w:fldCharType="begin">
                <w:ffData>
                  <w:name w:val="ssl_spis_schref1"/>
                  <w:enabled w:val="0"/>
                  <w:calcOnExit w:val="0"/>
                  <w:textInput>
                    <w:default w:val="Ing. Bc. Miroslav Veselý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Ing. Bc. Miroslav Veselý</w:t>
            </w:r>
            <w:r>
              <w:fldChar w:fldCharType="end"/>
            </w:r>
          </w:p>
        </w:tc>
      </w:tr>
      <w:tr w:rsidR="00F47B28" w14:paraId="3AA74A51" w14:textId="77777777" w:rsidTr="00F47B28">
        <w:tc>
          <w:tcPr>
            <w:tcW w:w="4020" w:type="dxa"/>
            <w:hideMark/>
          </w:tcPr>
          <w:p w14:paraId="596B7CB5" w14:textId="6D9A4C23" w:rsidR="00290C57" w:rsidRDefault="00F47B28" w:rsidP="00C32A49">
            <w:pPr>
              <w:pStyle w:val="Text"/>
              <w:jc w:val="center"/>
            </w:pPr>
            <w:r>
              <w:fldChar w:fldCharType="begin">
                <w:ffData>
                  <w:name w:val="ssl_spis_schfun"/>
                  <w:enabled w:val="0"/>
                  <w:calcOnExit w:val="0"/>
                  <w:textInput>
                    <w:default w:val="ředitel odboru, pověřen řízení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ředitel odboru</w:t>
            </w:r>
            <w:r>
              <w:fldChar w:fldCharType="end"/>
            </w:r>
          </w:p>
          <w:p w14:paraId="13157E9F" w14:textId="77180523" w:rsidR="00290C57" w:rsidRDefault="00290C57" w:rsidP="00290C57">
            <w:pPr>
              <w:pStyle w:val="Text"/>
            </w:pPr>
          </w:p>
        </w:tc>
      </w:tr>
      <w:tr w:rsidR="00F47B28" w14:paraId="34702DE2" w14:textId="77777777" w:rsidTr="00F47B28">
        <w:tc>
          <w:tcPr>
            <w:tcW w:w="4020" w:type="dxa"/>
          </w:tcPr>
          <w:p w14:paraId="6BFF1908" w14:textId="77777777" w:rsidR="00F47B28" w:rsidRDefault="00F47B28" w:rsidP="00C32A49">
            <w:pPr>
              <w:pStyle w:val="Text"/>
              <w:rPr>
                <w:i/>
                <w:sz w:val="22"/>
                <w:szCs w:val="22"/>
              </w:rPr>
            </w:pPr>
          </w:p>
        </w:tc>
      </w:tr>
    </w:tbl>
    <w:p w14:paraId="35ECC1ED" w14:textId="56D88354" w:rsidR="00C32A49" w:rsidRDefault="00C32A49" w:rsidP="00F47B28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p w14:paraId="3FB94712" w14:textId="5367D4B2" w:rsidR="00F47B28" w:rsidRDefault="00F47B28" w:rsidP="00F47B28">
      <w:pPr>
        <w:pStyle w:val="Text"/>
        <w:tabs>
          <w:tab w:val="left" w:pos="900"/>
        </w:tabs>
        <w:spacing w:line="300" w:lineRule="exac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Rozdělovník:</w:t>
      </w:r>
    </w:p>
    <w:p w14:paraId="41E84EB0" w14:textId="77777777" w:rsidR="00F47B28" w:rsidRDefault="00F47B28" w:rsidP="00F47B28">
      <w:pPr>
        <w:pStyle w:val="Text"/>
        <w:tabs>
          <w:tab w:val="left" w:pos="900"/>
        </w:tabs>
        <w:spacing w:line="300" w:lineRule="exact"/>
        <w:rPr>
          <w:sz w:val="20"/>
          <w:szCs w:val="20"/>
        </w:rPr>
      </w:pPr>
    </w:p>
    <w:p w14:paraId="081F84EA" w14:textId="77777777" w:rsidR="00F47B28" w:rsidRDefault="00F47B28" w:rsidP="00F47B28">
      <w:pPr>
        <w:pStyle w:val="Text"/>
        <w:numPr>
          <w:ilvl w:val="0"/>
          <w:numId w:val="6"/>
        </w:numPr>
        <w:spacing w:after="120" w:line="30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Originál rozhodnutí zůstane součástí správního spisu. </w:t>
      </w:r>
    </w:p>
    <w:p w14:paraId="1943D6A9" w14:textId="57D658F5" w:rsidR="008321E0" w:rsidRPr="00290C57" w:rsidRDefault="00F47B28" w:rsidP="008321E0">
      <w:pPr>
        <w:pStyle w:val="Text"/>
        <w:numPr>
          <w:ilvl w:val="0"/>
          <w:numId w:val="6"/>
        </w:numPr>
        <w:spacing w:line="30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Stejnopis rozhodnutí bude v souladu s § 123 odst. 1 zákona o obcích, § 72 odst. 1 a § 19 odst. 4 správního řádu oznámen účastníkovi řízení – obci Holoubkov – doručením do datové schránky.</w:t>
      </w:r>
    </w:p>
    <w:sectPr w:rsidR="008321E0" w:rsidRPr="00290C57" w:rsidSect="00290C57">
      <w:headerReference w:type="default" r:id="rId7"/>
      <w:footerReference w:type="even" r:id="rId8"/>
      <w:footerReference w:type="default" r:id="rId9"/>
      <w:pgSz w:w="11906" w:h="16838" w:code="9"/>
      <w:pgMar w:top="2410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349EB" w14:textId="77777777" w:rsidR="00C3472A" w:rsidRDefault="00C3472A">
      <w:r>
        <w:separator/>
      </w:r>
    </w:p>
  </w:endnote>
  <w:endnote w:type="continuationSeparator" w:id="0">
    <w:p w14:paraId="31FE672D" w14:textId="77777777" w:rsidR="00C3472A" w:rsidRDefault="00C3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B836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54C795" w14:textId="77777777"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C378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3A27">
      <w:rPr>
        <w:rStyle w:val="slostrnky"/>
        <w:noProof/>
      </w:rPr>
      <w:t>1</w:t>
    </w:r>
    <w:r>
      <w:rPr>
        <w:rStyle w:val="slostrnky"/>
      </w:rPr>
      <w:fldChar w:fldCharType="end"/>
    </w:r>
  </w:p>
  <w:p w14:paraId="7B33BDD0" w14:textId="77777777"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324B" w14:textId="77777777" w:rsidR="00C3472A" w:rsidRDefault="00C3472A">
      <w:r>
        <w:separator/>
      </w:r>
    </w:p>
  </w:footnote>
  <w:footnote w:type="continuationSeparator" w:id="0">
    <w:p w14:paraId="3DA72AA1" w14:textId="77777777" w:rsidR="00C3472A" w:rsidRDefault="00C3472A">
      <w:r>
        <w:continuationSeparator/>
      </w:r>
    </w:p>
  </w:footnote>
  <w:footnote w:id="1">
    <w:p w14:paraId="1DEA1517" w14:textId="77777777" w:rsidR="00F47B28" w:rsidRDefault="00F47B28" w:rsidP="00F47B28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Listina evidována pod č. j. MV-181304-3/ODK-2021 a MV-181304-7/ODK-2021.</w:t>
      </w:r>
    </w:p>
  </w:footnote>
  <w:footnote w:id="2">
    <w:p w14:paraId="3837C4A9" w14:textId="77777777" w:rsidR="00F47B28" w:rsidRDefault="00F47B28" w:rsidP="00F47B28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Listina evidována pod č. j. </w:t>
      </w:r>
      <w:r>
        <w:rPr>
          <w:rFonts w:ascii="Arial" w:hAnsi="Arial" w:cs="Arial"/>
          <w:bCs/>
        </w:rPr>
        <w:t>MV-181304-15/ODK-2021</w:t>
      </w:r>
      <w:r>
        <w:rPr>
          <w:rFonts w:ascii="Arial" w:hAnsi="Arial" w:cs="Arial"/>
        </w:rPr>
        <w:t>.</w:t>
      </w:r>
    </w:p>
  </w:footnote>
  <w:footnote w:id="3">
    <w:p w14:paraId="4E804ECD" w14:textId="77777777" w:rsidR="00F47B28" w:rsidRDefault="00F47B28" w:rsidP="00F47B28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Listina evidována pod č. j. MV-</w:t>
      </w:r>
      <w:r>
        <w:rPr>
          <w:rFonts w:ascii="Arial" w:hAnsi="Arial" w:cs="Arial"/>
          <w:bCs/>
        </w:rPr>
        <w:t>181304-15</w:t>
      </w:r>
      <w:r>
        <w:rPr>
          <w:rFonts w:ascii="Arial" w:hAnsi="Arial" w:cs="Arial"/>
        </w:rPr>
        <w:t>/ODK-2021.</w:t>
      </w:r>
    </w:p>
  </w:footnote>
  <w:footnote w:id="4">
    <w:p w14:paraId="2B5BEC49" w14:textId="77777777" w:rsidR="00F47B28" w:rsidRDefault="00F47B28" w:rsidP="00F47B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Listina evidována pod č. j. MV-</w:t>
      </w:r>
      <w:r>
        <w:rPr>
          <w:rFonts w:ascii="Arial" w:hAnsi="Arial" w:cs="Arial"/>
          <w:bCs/>
        </w:rPr>
        <w:t>181304-14</w:t>
      </w:r>
      <w:r>
        <w:rPr>
          <w:rFonts w:ascii="Arial" w:hAnsi="Arial" w:cs="Arial"/>
        </w:rPr>
        <w:t>/ODK-2021.</w:t>
      </w:r>
    </w:p>
  </w:footnote>
  <w:footnote w:id="5">
    <w:p w14:paraId="00846FE2" w14:textId="77777777" w:rsidR="00F47B28" w:rsidRDefault="00F47B28" w:rsidP="00F47B28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Uvedenou skutečnost ještě pregnantněji vyjádřil Ústavní soud ve svém nálezu ze dne 20. března 2007, </w:t>
      </w:r>
      <w:r>
        <w:rPr>
          <w:rFonts w:ascii="Arial" w:hAnsi="Arial" w:cs="Arial"/>
        </w:rPr>
        <w:t xml:space="preserve">sp. zn. Pl.ÚS 20/06, kde v bodě 22 konstatoval: </w:t>
      </w:r>
      <w:r>
        <w:rPr>
          <w:rFonts w:ascii="Arial" w:hAnsi="Arial" w:cs="Arial"/>
          <w:i/>
        </w:rPr>
        <w:t xml:space="preserve">„Přímo z ustanovení čl. 11 odst. 5 Listiny vyplývá, že daně a poplatky lze ukládat jen na základě zákona. </w:t>
      </w:r>
      <w:r>
        <w:rPr>
          <w:rFonts w:ascii="Arial" w:hAnsi="Arial" w:cs="Arial"/>
          <w:i/>
          <w:u w:val="single"/>
        </w:rPr>
        <w:t>Obce tak mohou svými obecně závaznými vyhláškami zavést jen takové místní poplatky, jež jsou taxativně vymezeny zákonem o místních poplatcích, a pouze v tom rozsahu, který tento zákon umožňuje</w:t>
      </w:r>
      <w:r>
        <w:rPr>
          <w:rFonts w:ascii="Arial" w:hAnsi="Arial" w:cs="Arial"/>
          <w:i/>
        </w:rPr>
        <w:t xml:space="preserve">. Podle přesvědčení Ústavního soudu je pak materie obsažená v zákoně o místních poplatcích zpracována v natolik komplexní a kogentní úpravě, že v otázkách spadajících pod režim citovaného zákona není obec oprávněna postupovat </w:t>
      </w:r>
      <w:r>
        <w:rPr>
          <w:rFonts w:ascii="Arial" w:hAnsi="Arial" w:cs="Arial"/>
          <w:i/>
        </w:rPr>
        <w:t xml:space="preserve">jinak, než zákonem výslovně stanoveným postupem. </w:t>
      </w:r>
      <w:r>
        <w:rPr>
          <w:rFonts w:ascii="Arial" w:hAnsi="Arial" w:cs="Arial"/>
          <w:i/>
          <w:u w:val="single"/>
        </w:rPr>
        <w:t>Takto jednoznačně vymezený rámec právní úpravy neumožňuje obcím při zavádění místních poplatků vytvářet další pravidla či ukládat jiné povinnosti jdoucí mimo hranice právní úpravy</w:t>
      </w:r>
      <w:r>
        <w:rPr>
          <w:rFonts w:ascii="Arial" w:hAnsi="Arial" w:cs="Arial"/>
          <w:i/>
        </w:rPr>
        <w:t xml:space="preserve">, resp. zákonného zmocnění ve smyslu § 14 odst. 2 zákona o místních poplatcích. </w:t>
      </w:r>
      <w:r>
        <w:rPr>
          <w:rFonts w:ascii="Arial" w:hAnsi="Arial" w:cs="Arial"/>
          <w:i/>
          <w:u w:val="single"/>
        </w:rPr>
        <w:t>Taktéž pozměňování pravidel zakotvených v zákoně o místních poplatcích ze strany obce není přípustné</w:t>
      </w:r>
      <w:r>
        <w:rPr>
          <w:rFonts w:ascii="Arial" w:hAnsi="Arial" w:cs="Arial"/>
          <w:i/>
        </w:rPr>
        <w:t>, neboť zákonná úprava má přednost před obecně závaznou vyhláškou; přijme-li zákonodárce pro danou oblast určitá pravidla, subjekt územní samosprávy nemůže tato duplicitně či v rozporu se zákony normovat.“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99B1" w14:textId="77777777"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6D91C08C" wp14:editId="0B94BFDC">
          <wp:extent cx="1838325" cy="504825"/>
          <wp:effectExtent l="0" t="0" r="9525" b="9525"/>
          <wp:docPr id="19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77F"/>
    <w:multiLevelType w:val="hybridMultilevel"/>
    <w:tmpl w:val="6ADE4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3C88"/>
    <w:multiLevelType w:val="hybridMultilevel"/>
    <w:tmpl w:val="217A94BC"/>
    <w:lvl w:ilvl="0" w:tplc="BC44338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261583"/>
    <w:multiLevelType w:val="hybridMultilevel"/>
    <w:tmpl w:val="E47892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7FA7"/>
    <w:multiLevelType w:val="hybridMultilevel"/>
    <w:tmpl w:val="E28CA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1236E"/>
    <w:multiLevelType w:val="hybridMultilevel"/>
    <w:tmpl w:val="A080FB18"/>
    <w:lvl w:ilvl="0" w:tplc="333A8CC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11BFE"/>
    <w:multiLevelType w:val="hybridMultilevel"/>
    <w:tmpl w:val="3410BB2C"/>
    <w:lvl w:ilvl="0" w:tplc="457C2034">
      <w:start w:val="1"/>
      <w:numFmt w:val="decimal"/>
      <w:lvlText w:val="[%1]"/>
      <w:lvlJc w:val="left"/>
      <w:pPr>
        <w:ind w:left="644" w:hanging="360"/>
      </w:pPr>
      <w:rPr>
        <w:rFonts w:ascii="Arial" w:hAnsi="Arial" w:cs="Arial" w:hint="default"/>
        <w:b w:val="0"/>
        <w:i w:val="0"/>
        <w:iCs w:val="0"/>
      </w:rPr>
    </w:lvl>
    <w:lvl w:ilvl="1" w:tplc="0B58991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27"/>
    <w:rsid w:val="00016737"/>
    <w:rsid w:val="00021D22"/>
    <w:rsid w:val="000321A2"/>
    <w:rsid w:val="00036088"/>
    <w:rsid w:val="0003781F"/>
    <w:rsid w:val="0004248A"/>
    <w:rsid w:val="00082E19"/>
    <w:rsid w:val="000D6BCE"/>
    <w:rsid w:val="00130B82"/>
    <w:rsid w:val="0013355D"/>
    <w:rsid w:val="00141387"/>
    <w:rsid w:val="001619BB"/>
    <w:rsid w:val="001A3A27"/>
    <w:rsid w:val="001B5A4B"/>
    <w:rsid w:val="001F1002"/>
    <w:rsid w:val="002000C3"/>
    <w:rsid w:val="00245F8C"/>
    <w:rsid w:val="002779E7"/>
    <w:rsid w:val="00290C57"/>
    <w:rsid w:val="00293A68"/>
    <w:rsid w:val="002A4440"/>
    <w:rsid w:val="002B5328"/>
    <w:rsid w:val="002F7EC7"/>
    <w:rsid w:val="00316BCE"/>
    <w:rsid w:val="00324A57"/>
    <w:rsid w:val="00350769"/>
    <w:rsid w:val="003648D3"/>
    <w:rsid w:val="00377C56"/>
    <w:rsid w:val="003A279A"/>
    <w:rsid w:val="003D0FD3"/>
    <w:rsid w:val="003E0D42"/>
    <w:rsid w:val="0042290C"/>
    <w:rsid w:val="00431C09"/>
    <w:rsid w:val="0044295B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E7E43"/>
    <w:rsid w:val="005F6D82"/>
    <w:rsid w:val="00653A5B"/>
    <w:rsid w:val="00661399"/>
    <w:rsid w:val="006639D0"/>
    <w:rsid w:val="00671736"/>
    <w:rsid w:val="006A33B5"/>
    <w:rsid w:val="00701EF1"/>
    <w:rsid w:val="00726761"/>
    <w:rsid w:val="00750602"/>
    <w:rsid w:val="00762142"/>
    <w:rsid w:val="00774381"/>
    <w:rsid w:val="0079433D"/>
    <w:rsid w:val="007A0B0F"/>
    <w:rsid w:val="007C2517"/>
    <w:rsid w:val="007C5199"/>
    <w:rsid w:val="007D4A89"/>
    <w:rsid w:val="00814013"/>
    <w:rsid w:val="00824A8E"/>
    <w:rsid w:val="008321E0"/>
    <w:rsid w:val="008925E0"/>
    <w:rsid w:val="008A37D4"/>
    <w:rsid w:val="008A51D9"/>
    <w:rsid w:val="008F2678"/>
    <w:rsid w:val="008F69D4"/>
    <w:rsid w:val="00937463"/>
    <w:rsid w:val="00976F05"/>
    <w:rsid w:val="00982EB8"/>
    <w:rsid w:val="009A306A"/>
    <w:rsid w:val="009D1276"/>
    <w:rsid w:val="009D5A08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42D1D"/>
    <w:rsid w:val="00B51755"/>
    <w:rsid w:val="00B521BF"/>
    <w:rsid w:val="00B60E24"/>
    <w:rsid w:val="00B7016D"/>
    <w:rsid w:val="00B7045A"/>
    <w:rsid w:val="00B775D1"/>
    <w:rsid w:val="00B9651D"/>
    <w:rsid w:val="00BB03C5"/>
    <w:rsid w:val="00C13657"/>
    <w:rsid w:val="00C30A9C"/>
    <w:rsid w:val="00C32A49"/>
    <w:rsid w:val="00C3472A"/>
    <w:rsid w:val="00C40CC2"/>
    <w:rsid w:val="00C655A0"/>
    <w:rsid w:val="00C92FC9"/>
    <w:rsid w:val="00C95DBE"/>
    <w:rsid w:val="00CC035E"/>
    <w:rsid w:val="00CC3E3F"/>
    <w:rsid w:val="00CD44F3"/>
    <w:rsid w:val="00CD4782"/>
    <w:rsid w:val="00CD5B3B"/>
    <w:rsid w:val="00CE7FB0"/>
    <w:rsid w:val="00D73E56"/>
    <w:rsid w:val="00DA5100"/>
    <w:rsid w:val="00DC209B"/>
    <w:rsid w:val="00DE1406"/>
    <w:rsid w:val="00DF18C0"/>
    <w:rsid w:val="00E05F51"/>
    <w:rsid w:val="00E22E22"/>
    <w:rsid w:val="00E375D4"/>
    <w:rsid w:val="00E67CA2"/>
    <w:rsid w:val="00E94363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47B28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39550"/>
  <w15:docId w15:val="{C6A52541-FF81-4894-93F1-6108689D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qFormat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F47B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7B28"/>
  </w:style>
  <w:style w:type="character" w:customStyle="1" w:styleId="ZkladntextChar">
    <w:name w:val="Základní text Char"/>
    <w:basedOn w:val="Standardnpsmoodstavce"/>
    <w:link w:val="Zkladntext"/>
    <w:rsid w:val="00F47B28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F47B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47B2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7B28"/>
    <w:pPr>
      <w:ind w:left="720"/>
      <w:contextualSpacing/>
    </w:pPr>
  </w:style>
  <w:style w:type="character" w:customStyle="1" w:styleId="TextChar">
    <w:name w:val="Text Char"/>
    <w:link w:val="Text"/>
    <w:qFormat/>
    <w:locked/>
    <w:rsid w:val="00F47B28"/>
    <w:rPr>
      <w:rFonts w:ascii="Arial" w:hAnsi="Arial" w:cs="Arial"/>
      <w:sz w:val="24"/>
      <w:szCs w:val="24"/>
    </w:rPr>
  </w:style>
  <w:style w:type="paragraph" w:customStyle="1" w:styleId="Default">
    <w:name w:val="Default"/>
    <w:rsid w:val="00F47B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F47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5971</Words>
  <Characters>35233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41122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Pavel Šnajdr</dc:creator>
  <cp:lastModifiedBy>Joklík Jakub, Mgr.</cp:lastModifiedBy>
  <cp:revision>2</cp:revision>
  <cp:lastPrinted>1900-12-31T23:00:00Z</cp:lastPrinted>
  <dcterms:created xsi:type="dcterms:W3CDTF">2023-07-18T13:47:00Z</dcterms:created>
  <dcterms:modified xsi:type="dcterms:W3CDTF">2023-07-18T13:47:00Z</dcterms:modified>
</cp:coreProperties>
</file>