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3FAB1" w14:textId="783BED0B" w:rsidR="004D5CAF" w:rsidRPr="004609CE" w:rsidRDefault="00F041F4">
      <w:pPr>
        <w:pStyle w:val="Zkladntext"/>
        <w:spacing w:after="0"/>
        <w:jc w:val="center"/>
        <w:rPr>
          <w:rFonts w:ascii="Arial" w:eastAsia="Arial" w:hAnsi="Arial" w:cs="Arial"/>
          <w:b/>
          <w:bCs/>
          <w:color w:val="auto"/>
        </w:rPr>
      </w:pPr>
      <w:r w:rsidRPr="004609CE">
        <w:rPr>
          <w:rFonts w:ascii="Arial" w:hAnsi="Arial" w:cs="Arial"/>
          <w:b/>
          <w:bCs/>
          <w:color w:val="auto"/>
        </w:rPr>
        <w:t>OBEC CHUDČICE</w:t>
      </w:r>
    </w:p>
    <w:p w14:paraId="2295646B" w14:textId="382CCB1A" w:rsidR="004D5CAF" w:rsidRPr="004609CE" w:rsidRDefault="004147C9">
      <w:pPr>
        <w:pStyle w:val="NormlnIMP"/>
        <w:spacing w:after="120" w:line="240" w:lineRule="auto"/>
        <w:jc w:val="center"/>
        <w:rPr>
          <w:rFonts w:ascii="Arial" w:eastAsia="Arial" w:hAnsi="Arial" w:cs="Arial"/>
          <w:b/>
          <w:bCs/>
          <w:color w:val="auto"/>
        </w:rPr>
      </w:pPr>
      <w:r w:rsidRPr="004609CE">
        <w:rPr>
          <w:rFonts w:ascii="Arial" w:hAnsi="Arial" w:cs="Arial"/>
          <w:b/>
          <w:bCs/>
          <w:color w:val="auto"/>
        </w:rPr>
        <w:t>ZASTUPITELSTVO OBCE</w:t>
      </w:r>
      <w:r w:rsidR="00F041F4" w:rsidRPr="004609CE">
        <w:rPr>
          <w:rFonts w:ascii="Arial" w:hAnsi="Arial" w:cs="Arial"/>
          <w:b/>
          <w:bCs/>
          <w:color w:val="auto"/>
        </w:rPr>
        <w:t xml:space="preserve"> CHUDČICE</w:t>
      </w:r>
    </w:p>
    <w:p w14:paraId="583A2A1F" w14:textId="6B391899" w:rsidR="004D5CAF" w:rsidRPr="004609CE" w:rsidRDefault="004147C9">
      <w:pPr>
        <w:pStyle w:val="NormlnIMP"/>
        <w:spacing w:line="240" w:lineRule="auto"/>
        <w:jc w:val="center"/>
        <w:rPr>
          <w:rFonts w:ascii="Arial" w:eastAsia="Arial" w:hAnsi="Arial" w:cs="Arial"/>
          <w:b/>
          <w:bCs/>
          <w:color w:val="auto"/>
        </w:rPr>
      </w:pPr>
      <w:r w:rsidRPr="004609CE">
        <w:rPr>
          <w:rFonts w:ascii="Arial" w:hAnsi="Arial" w:cs="Arial"/>
          <w:b/>
          <w:bCs/>
          <w:color w:val="auto"/>
        </w:rPr>
        <w:t>Obecně závazná vyhláška obce,</w:t>
      </w:r>
    </w:p>
    <w:p w14:paraId="4A6ECB84" w14:textId="77777777" w:rsidR="004D5CAF" w:rsidRPr="004609CE" w:rsidRDefault="004D5CAF">
      <w:pPr>
        <w:pStyle w:val="NormlnIMP"/>
        <w:spacing w:line="240" w:lineRule="auto"/>
        <w:jc w:val="center"/>
        <w:rPr>
          <w:rFonts w:ascii="Arial" w:eastAsia="Arial" w:hAnsi="Arial" w:cs="Arial"/>
          <w:b/>
          <w:bCs/>
          <w:color w:val="auto"/>
        </w:rPr>
      </w:pPr>
    </w:p>
    <w:p w14:paraId="17826225" w14:textId="77777777" w:rsidR="004D5CAF" w:rsidRPr="004609CE" w:rsidRDefault="004147C9">
      <w:pPr>
        <w:spacing w:after="120"/>
        <w:jc w:val="center"/>
        <w:rPr>
          <w:rFonts w:ascii="Arial" w:eastAsia="Arial" w:hAnsi="Arial" w:cs="Arial"/>
          <w:b/>
          <w:bCs/>
          <w:color w:val="auto"/>
        </w:rPr>
      </w:pPr>
      <w:r w:rsidRPr="004609CE">
        <w:rPr>
          <w:rFonts w:ascii="Arial" w:hAnsi="Arial" w:cs="Arial"/>
          <w:b/>
          <w:bCs/>
          <w:color w:val="auto"/>
        </w:rPr>
        <w:t xml:space="preserve">kterou se stanovují pravidla pro pohyb psů na veřejném prostranství </w:t>
      </w:r>
      <w:r w:rsidRPr="004609CE">
        <w:rPr>
          <w:rFonts w:ascii="Arial" w:hAnsi="Arial" w:cs="Arial"/>
          <w:b/>
          <w:bCs/>
          <w:color w:val="auto"/>
        </w:rPr>
        <w:br/>
        <w:t>v obci a vymezují prostory pro volné pobíhání psů</w:t>
      </w:r>
    </w:p>
    <w:p w14:paraId="7FFBDB16" w14:textId="77777777" w:rsidR="004D5CAF" w:rsidRPr="004609CE" w:rsidRDefault="004D5CAF">
      <w:pPr>
        <w:spacing w:after="120"/>
        <w:jc w:val="center"/>
        <w:rPr>
          <w:rFonts w:ascii="Arial" w:eastAsia="Arial" w:hAnsi="Arial" w:cs="Arial"/>
          <w:b/>
          <w:bCs/>
          <w:color w:val="auto"/>
        </w:rPr>
      </w:pPr>
    </w:p>
    <w:p w14:paraId="7C10DD4A" w14:textId="2C5F6E39" w:rsidR="004D5CAF" w:rsidRPr="004609CE" w:rsidRDefault="004147C9">
      <w:pPr>
        <w:widowControl w:val="0"/>
        <w:spacing w:after="120" w:line="312" w:lineRule="auto"/>
        <w:jc w:val="both"/>
        <w:rPr>
          <w:rFonts w:ascii="Arial" w:hAnsi="Arial" w:cs="Arial"/>
          <w:color w:val="auto"/>
        </w:rPr>
      </w:pPr>
      <w:r w:rsidRPr="004609CE">
        <w:rPr>
          <w:rFonts w:ascii="Arial" w:hAnsi="Arial" w:cs="Arial"/>
          <w:color w:val="auto"/>
        </w:rPr>
        <w:t xml:space="preserve">Zastupitelstvo obce </w:t>
      </w:r>
      <w:r w:rsidR="00F041F4" w:rsidRPr="004609CE">
        <w:rPr>
          <w:rFonts w:ascii="Arial" w:hAnsi="Arial" w:cs="Arial"/>
          <w:color w:val="auto"/>
        </w:rPr>
        <w:t>Chudčice</w:t>
      </w:r>
      <w:r w:rsidRPr="004609CE">
        <w:rPr>
          <w:rFonts w:ascii="Arial" w:hAnsi="Arial" w:cs="Arial"/>
          <w:color w:val="auto"/>
        </w:rPr>
        <w:t xml:space="preserve"> se na svém zasedání</w:t>
      </w:r>
      <w:r w:rsidRPr="004609CE">
        <w:rPr>
          <w:rFonts w:ascii="Arial" w:hAnsi="Arial" w:cs="Arial"/>
          <w:b/>
          <w:bCs/>
          <w:color w:val="auto"/>
        </w:rPr>
        <w:t xml:space="preserve"> </w:t>
      </w:r>
      <w:r w:rsidRPr="004609CE">
        <w:rPr>
          <w:rFonts w:ascii="Arial" w:hAnsi="Arial" w:cs="Arial"/>
          <w:color w:val="auto"/>
        </w:rPr>
        <w:t>dne</w:t>
      </w:r>
      <w:r w:rsidR="00755801" w:rsidRPr="004609CE">
        <w:rPr>
          <w:rFonts w:ascii="Arial" w:hAnsi="Arial" w:cs="Arial"/>
          <w:color w:val="auto"/>
        </w:rPr>
        <w:t xml:space="preserve"> </w:t>
      </w:r>
      <w:r w:rsidR="004609CE" w:rsidRPr="004609CE">
        <w:rPr>
          <w:rFonts w:ascii="Arial" w:hAnsi="Arial" w:cs="Arial"/>
          <w:color w:val="auto"/>
        </w:rPr>
        <w:t>22. 4. 2024</w:t>
      </w:r>
      <w:r w:rsidRPr="004609CE">
        <w:rPr>
          <w:rFonts w:ascii="Arial" w:hAnsi="Arial" w:cs="Arial"/>
          <w:color w:val="auto"/>
        </w:rPr>
        <w:t xml:space="preserve"> usnesením č. </w:t>
      </w:r>
      <w:r w:rsidR="004609CE" w:rsidRPr="004609CE">
        <w:rPr>
          <w:rFonts w:ascii="Arial" w:hAnsi="Arial" w:cs="Arial"/>
          <w:color w:val="auto"/>
        </w:rPr>
        <w:t>40/24/ZO2</w:t>
      </w:r>
      <w:r w:rsidR="00755801" w:rsidRPr="004609CE">
        <w:rPr>
          <w:rFonts w:ascii="Arial" w:hAnsi="Arial" w:cs="Arial"/>
          <w:color w:val="auto"/>
        </w:rPr>
        <w:t xml:space="preserve"> </w:t>
      </w:r>
      <w:r w:rsidRPr="004609CE">
        <w:rPr>
          <w:rFonts w:ascii="Arial" w:hAnsi="Arial" w:cs="Arial"/>
          <w:color w:val="auto"/>
        </w:rPr>
        <w:t>usneslo vydat na základě ustanovení § 24 odst. 2 zákona č. 246/1992 Sb., na ochranu zvířat proti týrání, ve znění pozdějších předpisů, a v souladu s ustanovením § 10 písm. d), § 35 a § 84 odst. 2 písm. h) zákona č. 128/2000 Sb., o obcích (obecní zřízení), ve znění pozdějších předpisů, tuto obecně závaznou vyhlášku:</w:t>
      </w:r>
    </w:p>
    <w:p w14:paraId="25056BD4" w14:textId="77777777" w:rsidR="00D34514" w:rsidRPr="004609CE" w:rsidRDefault="00D34514">
      <w:pPr>
        <w:widowControl w:val="0"/>
        <w:spacing w:after="120" w:line="312" w:lineRule="auto"/>
        <w:jc w:val="both"/>
        <w:rPr>
          <w:rFonts w:ascii="Arial" w:eastAsia="Arial" w:hAnsi="Arial" w:cs="Arial"/>
          <w:color w:val="auto"/>
        </w:rPr>
      </w:pPr>
    </w:p>
    <w:p w14:paraId="2E065B4B" w14:textId="77777777" w:rsidR="004D5CAF" w:rsidRPr="004609CE" w:rsidRDefault="004147C9">
      <w:pPr>
        <w:widowControl w:val="0"/>
        <w:jc w:val="center"/>
        <w:rPr>
          <w:rFonts w:ascii="Arial" w:eastAsia="Arial" w:hAnsi="Arial" w:cs="Arial"/>
          <w:b/>
          <w:bCs/>
          <w:color w:val="auto"/>
        </w:rPr>
      </w:pPr>
      <w:r w:rsidRPr="004609CE">
        <w:rPr>
          <w:rFonts w:ascii="Arial" w:hAnsi="Arial" w:cs="Arial"/>
          <w:b/>
          <w:bCs/>
          <w:color w:val="auto"/>
        </w:rPr>
        <w:t>Čl. 1</w:t>
      </w:r>
    </w:p>
    <w:p w14:paraId="44E90604" w14:textId="77777777" w:rsidR="004D5CAF" w:rsidRPr="004609CE" w:rsidRDefault="004D5CAF">
      <w:pPr>
        <w:widowControl w:val="0"/>
        <w:spacing w:after="120"/>
        <w:jc w:val="center"/>
        <w:rPr>
          <w:rFonts w:ascii="Arial" w:eastAsia="Arial" w:hAnsi="Arial" w:cs="Arial"/>
          <w:b/>
          <w:bCs/>
          <w:color w:val="auto"/>
        </w:rPr>
        <w:sectPr w:rsidR="004D5CAF" w:rsidRPr="004609CE" w:rsidSect="00B87FC7">
          <w:headerReference w:type="default" r:id="rId7"/>
          <w:footerReference w:type="default" r:id="rId8"/>
          <w:pgSz w:w="11900" w:h="16840"/>
          <w:pgMar w:top="1417" w:right="1417" w:bottom="1417" w:left="1417" w:header="708" w:footer="708" w:gutter="0"/>
          <w:cols w:space="708"/>
        </w:sectPr>
      </w:pPr>
    </w:p>
    <w:p w14:paraId="3A98A304" w14:textId="77777777" w:rsidR="004D5CAF" w:rsidRPr="004609CE" w:rsidRDefault="004147C9">
      <w:pPr>
        <w:widowControl w:val="0"/>
        <w:spacing w:after="120"/>
        <w:contextualSpacing/>
        <w:jc w:val="center"/>
        <w:rPr>
          <w:rFonts w:ascii="Arial" w:hAnsi="Arial" w:cs="Arial"/>
          <w:b/>
          <w:bCs/>
          <w:color w:val="auto"/>
        </w:rPr>
      </w:pPr>
      <w:r w:rsidRPr="004609CE">
        <w:rPr>
          <w:rFonts w:ascii="Arial" w:hAnsi="Arial" w:cs="Arial"/>
          <w:b/>
          <w:bCs/>
          <w:color w:val="auto"/>
        </w:rPr>
        <w:t>Pravidla pro pohyb psů na veřejném prostranství</w:t>
      </w:r>
    </w:p>
    <w:p w14:paraId="0A02919F" w14:textId="77777777" w:rsidR="00D34514" w:rsidRPr="004609CE" w:rsidRDefault="00D34514">
      <w:pPr>
        <w:widowControl w:val="0"/>
        <w:spacing w:after="120"/>
        <w:contextualSpacing/>
        <w:jc w:val="center"/>
        <w:rPr>
          <w:rFonts w:ascii="Arial" w:eastAsia="Arial" w:hAnsi="Arial" w:cs="Arial"/>
          <w:b/>
          <w:bCs/>
          <w:color w:val="auto"/>
        </w:rPr>
      </w:pPr>
    </w:p>
    <w:p w14:paraId="0CB2A8F2" w14:textId="77777777" w:rsidR="004D5CAF" w:rsidRPr="004609CE" w:rsidRDefault="004147C9">
      <w:pPr>
        <w:pStyle w:val="Odstavecseseznamem"/>
        <w:widowControl w:val="0"/>
        <w:numPr>
          <w:ilvl w:val="0"/>
          <w:numId w:val="5"/>
        </w:numPr>
        <w:spacing w:after="120" w:line="312" w:lineRule="auto"/>
        <w:contextualSpacing/>
        <w:jc w:val="both"/>
        <w:rPr>
          <w:rFonts w:ascii="Arial" w:hAnsi="Arial" w:cs="Arial"/>
          <w:color w:val="auto"/>
          <w:sz w:val="24"/>
          <w:szCs w:val="24"/>
        </w:rPr>
      </w:pPr>
      <w:r w:rsidRPr="004609CE">
        <w:rPr>
          <w:rFonts w:ascii="Arial" w:hAnsi="Arial" w:cs="Arial"/>
          <w:color w:val="auto"/>
          <w:sz w:val="24"/>
          <w:szCs w:val="24"/>
        </w:rPr>
        <w:t>Stanovují se následující pravidla pro pohyb psů na veřejném prostranství v obci</w:t>
      </w:r>
      <w:r w:rsidRPr="004609CE">
        <w:rPr>
          <w:rStyle w:val="Znakapoznpodarou"/>
          <w:rFonts w:ascii="Arial" w:eastAsia="Arial" w:hAnsi="Arial" w:cs="Arial"/>
          <w:color w:val="auto"/>
          <w:sz w:val="24"/>
          <w:szCs w:val="24"/>
        </w:rPr>
        <w:footnoteReference w:id="2"/>
      </w:r>
      <w:r w:rsidRPr="004609CE">
        <w:rPr>
          <w:rStyle w:val="Znakapoznpodarou"/>
          <w:rFonts w:ascii="Arial" w:hAnsi="Arial" w:cs="Arial"/>
          <w:color w:val="auto"/>
          <w:sz w:val="24"/>
          <w:szCs w:val="24"/>
        </w:rPr>
        <w:t>)</w:t>
      </w:r>
      <w:r w:rsidRPr="004609CE">
        <w:rPr>
          <w:rFonts w:ascii="Arial" w:hAnsi="Arial" w:cs="Arial"/>
          <w:color w:val="auto"/>
          <w:sz w:val="24"/>
          <w:szCs w:val="24"/>
        </w:rPr>
        <w:t>:</w:t>
      </w:r>
    </w:p>
    <w:p w14:paraId="79D72EBA" w14:textId="5D9FB4F3" w:rsidR="004D5CAF" w:rsidRPr="004609CE" w:rsidRDefault="006368C4" w:rsidP="0088721B">
      <w:pPr>
        <w:pStyle w:val="Odstavecseseznamem"/>
        <w:widowControl w:val="0"/>
        <w:numPr>
          <w:ilvl w:val="1"/>
          <w:numId w:val="5"/>
        </w:numPr>
        <w:spacing w:after="120" w:line="312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4609CE">
        <w:rPr>
          <w:rFonts w:ascii="Arial" w:hAnsi="Arial" w:cs="Arial"/>
          <w:color w:val="auto"/>
          <w:sz w:val="24"/>
          <w:szCs w:val="24"/>
        </w:rPr>
        <w:t xml:space="preserve"> </w:t>
      </w:r>
      <w:r w:rsidR="004147C9" w:rsidRPr="004609CE">
        <w:rPr>
          <w:rFonts w:ascii="Arial" w:hAnsi="Arial" w:cs="Arial"/>
          <w:color w:val="auto"/>
          <w:sz w:val="24"/>
          <w:szCs w:val="24"/>
        </w:rPr>
        <w:t xml:space="preserve">na </w:t>
      </w:r>
      <w:r w:rsidR="004147C9" w:rsidRPr="004609CE">
        <w:rPr>
          <w:rFonts w:ascii="Arial" w:hAnsi="Arial" w:cs="Arial"/>
          <w:b/>
          <w:bCs/>
          <w:color w:val="auto"/>
          <w:sz w:val="24"/>
          <w:szCs w:val="24"/>
        </w:rPr>
        <w:t>všech veřejných prostranstvích</w:t>
      </w:r>
      <w:r w:rsidR="004147C9" w:rsidRPr="004609CE">
        <w:rPr>
          <w:rFonts w:ascii="Arial" w:hAnsi="Arial" w:cs="Arial"/>
          <w:color w:val="auto"/>
          <w:sz w:val="24"/>
          <w:szCs w:val="24"/>
        </w:rPr>
        <w:t xml:space="preserve"> v obci je možný pohyb psů pouze</w:t>
      </w:r>
      <w:r w:rsidRPr="004609CE">
        <w:rPr>
          <w:rFonts w:ascii="Arial" w:hAnsi="Arial" w:cs="Arial"/>
          <w:color w:val="auto"/>
          <w:sz w:val="24"/>
          <w:szCs w:val="24"/>
        </w:rPr>
        <w:t xml:space="preserve"> na vodítku, jehož délka umožní spolehlivou ovladatelnost psa nebo s náhubkem. Náhubek musí být upevněn na tělo psa tak, aby mu znemožňoval kousnutí.</w:t>
      </w:r>
    </w:p>
    <w:p w14:paraId="4F28836A" w14:textId="2039FBBE" w:rsidR="004D5CAF" w:rsidRPr="004609CE" w:rsidRDefault="002031F4">
      <w:pPr>
        <w:pStyle w:val="Odstavecseseznamem"/>
        <w:widowControl w:val="0"/>
        <w:numPr>
          <w:ilvl w:val="1"/>
          <w:numId w:val="5"/>
        </w:numPr>
        <w:spacing w:after="120" w:line="312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4609CE">
        <w:rPr>
          <w:rFonts w:ascii="Arial" w:hAnsi="Arial" w:cs="Arial"/>
          <w:color w:val="auto"/>
          <w:sz w:val="24"/>
          <w:szCs w:val="24"/>
        </w:rPr>
        <w:t xml:space="preserve"> je zakázáno přivádět psy na dětské hřiště, pískoviště, do školských zařízen</w:t>
      </w:r>
      <w:r w:rsidR="00B02080" w:rsidRPr="004609CE">
        <w:rPr>
          <w:rFonts w:ascii="Arial" w:hAnsi="Arial" w:cs="Arial"/>
          <w:color w:val="auto"/>
          <w:sz w:val="24"/>
          <w:szCs w:val="24"/>
        </w:rPr>
        <w:t xml:space="preserve">í </w:t>
      </w:r>
      <w:r w:rsidRPr="004609CE">
        <w:rPr>
          <w:rFonts w:ascii="Arial" w:hAnsi="Arial" w:cs="Arial"/>
          <w:color w:val="auto"/>
          <w:sz w:val="24"/>
          <w:szCs w:val="24"/>
        </w:rPr>
        <w:t xml:space="preserve">a dále do areálu fotbalového hřiště. </w:t>
      </w:r>
    </w:p>
    <w:p w14:paraId="3452E1C3" w14:textId="1E286B41" w:rsidR="00602B26" w:rsidRPr="004609CE" w:rsidRDefault="002031F4" w:rsidP="00602B26">
      <w:pPr>
        <w:pStyle w:val="Odstavecseseznamem"/>
        <w:widowControl w:val="0"/>
        <w:numPr>
          <w:ilvl w:val="1"/>
          <w:numId w:val="5"/>
        </w:numPr>
        <w:spacing w:after="120" w:line="312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4609CE">
        <w:rPr>
          <w:rFonts w:ascii="Arial" w:hAnsi="Arial" w:cs="Arial"/>
          <w:color w:val="auto"/>
          <w:sz w:val="24"/>
          <w:szCs w:val="24"/>
        </w:rPr>
        <w:t xml:space="preserve"> </w:t>
      </w:r>
      <w:r w:rsidR="00D9104E" w:rsidRPr="004609CE">
        <w:rPr>
          <w:rFonts w:ascii="Arial" w:hAnsi="Arial" w:cs="Arial"/>
          <w:color w:val="auto"/>
          <w:sz w:val="24"/>
          <w:szCs w:val="24"/>
        </w:rPr>
        <w:t>Exkrementy</w:t>
      </w:r>
      <w:r w:rsidR="00602B26" w:rsidRPr="004609CE">
        <w:rPr>
          <w:rFonts w:ascii="Arial" w:hAnsi="Arial" w:cs="Arial"/>
          <w:color w:val="auto"/>
          <w:sz w:val="24"/>
          <w:szCs w:val="24"/>
        </w:rPr>
        <w:t>, kterými pes znečistil veřejné prostranství, je povinna ihned uklidit osoba, která psa vede. K odstranění exkrementu může uvedená osoba použít sáček, který uloží do veřejné odpadkové nádoby k tomu určené.</w:t>
      </w:r>
    </w:p>
    <w:p w14:paraId="60465E6F" w14:textId="22E23BB7" w:rsidR="004D5CAF" w:rsidRPr="004609CE" w:rsidRDefault="004147C9">
      <w:pPr>
        <w:pStyle w:val="Odstavecseseznamem"/>
        <w:widowControl w:val="0"/>
        <w:numPr>
          <w:ilvl w:val="0"/>
          <w:numId w:val="6"/>
        </w:numPr>
        <w:spacing w:after="120" w:line="312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4609CE">
        <w:rPr>
          <w:rFonts w:ascii="Arial" w:hAnsi="Arial" w:cs="Arial"/>
          <w:color w:val="auto"/>
          <w:sz w:val="24"/>
          <w:szCs w:val="24"/>
        </w:rPr>
        <w:t xml:space="preserve">Splnění povinností stanovených v odst.1 zajišťuje fyzická osoba, která má psa na veřejném prostranství pod kontrolou či dohledem </w:t>
      </w:r>
      <w:r w:rsidRPr="004609CE">
        <w:rPr>
          <w:rStyle w:val="Znakapoznpodarou"/>
          <w:rFonts w:ascii="Arial" w:eastAsia="Arial" w:hAnsi="Arial" w:cs="Arial"/>
          <w:color w:val="auto"/>
          <w:sz w:val="24"/>
          <w:szCs w:val="24"/>
        </w:rPr>
        <w:footnoteReference w:id="3"/>
      </w:r>
      <w:r w:rsidRPr="004609CE">
        <w:rPr>
          <w:rStyle w:val="Znakapoznpodarou"/>
          <w:rFonts w:ascii="Arial" w:hAnsi="Arial" w:cs="Arial"/>
          <w:color w:val="auto"/>
          <w:sz w:val="24"/>
          <w:szCs w:val="24"/>
        </w:rPr>
        <w:t>)</w:t>
      </w:r>
      <w:r w:rsidRPr="004609CE">
        <w:rPr>
          <w:rFonts w:ascii="Arial" w:hAnsi="Arial" w:cs="Arial"/>
          <w:color w:val="auto"/>
          <w:sz w:val="24"/>
          <w:szCs w:val="24"/>
        </w:rPr>
        <w:t>.</w:t>
      </w:r>
    </w:p>
    <w:p w14:paraId="3B286250" w14:textId="77777777" w:rsidR="0088721B" w:rsidRPr="004609CE" w:rsidRDefault="0088721B">
      <w:pPr>
        <w:pStyle w:val="Odstavecseseznamem"/>
        <w:widowControl w:val="0"/>
        <w:spacing w:after="120" w:line="240" w:lineRule="auto"/>
        <w:ind w:left="426"/>
        <w:jc w:val="both"/>
        <w:rPr>
          <w:rFonts w:ascii="Arial" w:eastAsia="Arial" w:hAnsi="Arial" w:cs="Arial"/>
          <w:color w:val="auto"/>
          <w:sz w:val="24"/>
          <w:szCs w:val="24"/>
        </w:rPr>
      </w:pPr>
    </w:p>
    <w:p w14:paraId="6F23C258" w14:textId="77777777" w:rsidR="004D5CAF" w:rsidRPr="004609CE" w:rsidRDefault="004147C9">
      <w:pPr>
        <w:widowControl w:val="0"/>
        <w:jc w:val="center"/>
        <w:rPr>
          <w:rFonts w:ascii="Arial" w:eastAsia="Arial" w:hAnsi="Arial" w:cs="Arial"/>
          <w:b/>
          <w:bCs/>
          <w:color w:val="auto"/>
        </w:rPr>
      </w:pPr>
      <w:r w:rsidRPr="004609CE">
        <w:rPr>
          <w:rFonts w:ascii="Arial" w:hAnsi="Arial" w:cs="Arial"/>
          <w:b/>
          <w:bCs/>
          <w:color w:val="auto"/>
        </w:rPr>
        <w:t>Čl. 2</w:t>
      </w:r>
    </w:p>
    <w:p w14:paraId="49E3ABF8" w14:textId="77777777" w:rsidR="004D5CAF" w:rsidRPr="004609CE" w:rsidRDefault="004147C9">
      <w:pPr>
        <w:jc w:val="center"/>
        <w:rPr>
          <w:rFonts w:ascii="Arial" w:hAnsi="Arial" w:cs="Arial"/>
          <w:b/>
          <w:bCs/>
          <w:color w:val="auto"/>
        </w:rPr>
      </w:pPr>
      <w:r w:rsidRPr="004609CE">
        <w:rPr>
          <w:rFonts w:ascii="Arial" w:hAnsi="Arial" w:cs="Arial"/>
          <w:b/>
          <w:bCs/>
          <w:color w:val="auto"/>
        </w:rPr>
        <w:t>Vymezení prostor pro volné pobíhání psů</w:t>
      </w:r>
    </w:p>
    <w:p w14:paraId="520BAA20" w14:textId="77777777" w:rsidR="00D34514" w:rsidRPr="004609CE" w:rsidRDefault="00D34514">
      <w:pPr>
        <w:jc w:val="center"/>
        <w:rPr>
          <w:rFonts w:ascii="Arial" w:eastAsia="Arial" w:hAnsi="Arial" w:cs="Arial"/>
          <w:b/>
          <w:bCs/>
          <w:color w:val="auto"/>
        </w:rPr>
      </w:pPr>
    </w:p>
    <w:p w14:paraId="17A872AC" w14:textId="55F6DCB8" w:rsidR="004D5CAF" w:rsidRPr="004609CE" w:rsidRDefault="004147C9">
      <w:pPr>
        <w:pStyle w:val="Odstavecseseznamem"/>
        <w:widowControl w:val="0"/>
        <w:numPr>
          <w:ilvl w:val="0"/>
          <w:numId w:val="8"/>
        </w:numPr>
        <w:spacing w:after="120" w:line="312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4609CE">
        <w:rPr>
          <w:rFonts w:ascii="Arial" w:hAnsi="Arial" w:cs="Arial"/>
          <w:color w:val="auto"/>
          <w:sz w:val="24"/>
          <w:szCs w:val="24"/>
        </w:rPr>
        <w:t xml:space="preserve">Pro volné pobíhání psů, které je možné pouze pod neustálým dohledem a přímým </w:t>
      </w:r>
      <w:r w:rsidRPr="004609CE">
        <w:rPr>
          <w:rFonts w:ascii="Arial" w:hAnsi="Arial" w:cs="Arial"/>
          <w:color w:val="auto"/>
          <w:sz w:val="24"/>
          <w:szCs w:val="24"/>
        </w:rPr>
        <w:lastRenderedPageBreak/>
        <w:t>vlivem fyzické osoby doprovázející psa, se vymezují prostory uvedené v příloze č.</w:t>
      </w:r>
      <w:r w:rsidR="0016012F" w:rsidRPr="004609CE">
        <w:rPr>
          <w:rFonts w:ascii="Arial" w:hAnsi="Arial" w:cs="Arial"/>
          <w:color w:val="auto"/>
          <w:sz w:val="24"/>
          <w:szCs w:val="24"/>
        </w:rPr>
        <w:t xml:space="preserve"> 1 </w:t>
      </w:r>
      <w:r w:rsidRPr="004609CE">
        <w:rPr>
          <w:rFonts w:ascii="Arial" w:hAnsi="Arial" w:cs="Arial"/>
          <w:color w:val="auto"/>
          <w:sz w:val="24"/>
          <w:szCs w:val="24"/>
        </w:rPr>
        <w:t>této obecně závazné vyhlášky.</w:t>
      </w:r>
    </w:p>
    <w:p w14:paraId="3443DD38" w14:textId="77777777" w:rsidR="004D5CAF" w:rsidRPr="004609CE" w:rsidRDefault="004147C9">
      <w:pPr>
        <w:pStyle w:val="Odstavecseseznamem"/>
        <w:widowControl w:val="0"/>
        <w:numPr>
          <w:ilvl w:val="0"/>
          <w:numId w:val="8"/>
        </w:numPr>
        <w:spacing w:after="120" w:line="312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4609CE">
        <w:rPr>
          <w:rFonts w:ascii="Arial" w:hAnsi="Arial" w:cs="Arial"/>
          <w:color w:val="auto"/>
          <w:sz w:val="24"/>
          <w:szCs w:val="24"/>
        </w:rPr>
        <w:t>Prostory dle odst. 1 jsou pro zvýšení právní jistoty osob osazeny nápisem „Místo pro volný pohyb psů“.</w:t>
      </w:r>
    </w:p>
    <w:p w14:paraId="2A8A71AE" w14:textId="77777777" w:rsidR="004D5CAF" w:rsidRPr="004609CE" w:rsidRDefault="004D5CAF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color w:val="auto"/>
        </w:rPr>
      </w:pPr>
    </w:p>
    <w:p w14:paraId="1C37ECDD" w14:textId="77777777" w:rsidR="004D5CAF" w:rsidRPr="004609CE" w:rsidRDefault="004D5CAF" w:rsidP="004147C9">
      <w:pPr>
        <w:pStyle w:val="Zkladntext"/>
        <w:spacing w:after="0" w:line="312" w:lineRule="auto"/>
        <w:rPr>
          <w:rFonts w:ascii="Arial" w:eastAsia="Arial" w:hAnsi="Arial" w:cs="Arial"/>
          <w:b/>
          <w:bCs/>
          <w:color w:val="auto"/>
        </w:rPr>
      </w:pPr>
    </w:p>
    <w:p w14:paraId="2886AD28" w14:textId="77777777" w:rsidR="004D5CAF" w:rsidRPr="004609CE" w:rsidRDefault="004147C9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color w:val="auto"/>
        </w:rPr>
      </w:pPr>
      <w:r w:rsidRPr="004609CE">
        <w:rPr>
          <w:rFonts w:ascii="Arial" w:hAnsi="Arial" w:cs="Arial"/>
          <w:b/>
          <w:bCs/>
          <w:color w:val="auto"/>
        </w:rPr>
        <w:t>Čl. 3</w:t>
      </w:r>
    </w:p>
    <w:p w14:paraId="51ADAD53" w14:textId="77777777" w:rsidR="004D5CAF" w:rsidRPr="004609CE" w:rsidRDefault="004147C9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color w:val="auto"/>
        </w:rPr>
      </w:pPr>
      <w:r w:rsidRPr="004609CE">
        <w:rPr>
          <w:rFonts w:ascii="Arial" w:hAnsi="Arial" w:cs="Arial"/>
          <w:b/>
          <w:bCs/>
          <w:color w:val="auto"/>
        </w:rPr>
        <w:t>Zrušovací ustanovení</w:t>
      </w:r>
    </w:p>
    <w:p w14:paraId="0EDF222C" w14:textId="77777777" w:rsidR="004D5CAF" w:rsidRPr="004609CE" w:rsidRDefault="004D5CAF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color w:val="auto"/>
        </w:rPr>
      </w:pPr>
    </w:p>
    <w:p w14:paraId="212E9D5F" w14:textId="40140D3F" w:rsidR="004D5CAF" w:rsidRPr="004609CE" w:rsidRDefault="004147C9">
      <w:pPr>
        <w:pStyle w:val="Seznamoslovan"/>
        <w:tabs>
          <w:tab w:val="left" w:pos="720"/>
        </w:tabs>
        <w:spacing w:after="0" w:line="312" w:lineRule="auto"/>
        <w:rPr>
          <w:rFonts w:ascii="Arial" w:hAnsi="Arial" w:cs="Arial"/>
          <w:color w:val="auto"/>
        </w:rPr>
      </w:pPr>
      <w:r w:rsidRPr="004609CE">
        <w:rPr>
          <w:rFonts w:ascii="Arial" w:hAnsi="Arial" w:cs="Arial"/>
          <w:color w:val="auto"/>
        </w:rPr>
        <w:t xml:space="preserve">Touto obecně závaznou vyhláškou se ruší obecně závazná vyhláška obce </w:t>
      </w:r>
      <w:r w:rsidR="001F7560" w:rsidRPr="004609CE">
        <w:rPr>
          <w:rFonts w:ascii="Arial" w:hAnsi="Arial" w:cs="Arial"/>
          <w:color w:val="auto"/>
        </w:rPr>
        <w:t xml:space="preserve">Chudčice </w:t>
      </w:r>
      <w:r w:rsidRPr="004609CE">
        <w:rPr>
          <w:rFonts w:ascii="Arial" w:hAnsi="Arial" w:cs="Arial"/>
          <w:color w:val="auto"/>
        </w:rPr>
        <w:t>č</w:t>
      </w:r>
      <w:r w:rsidR="00B9509F" w:rsidRPr="004609CE">
        <w:rPr>
          <w:rFonts w:ascii="Arial" w:hAnsi="Arial" w:cs="Arial"/>
          <w:color w:val="auto"/>
        </w:rPr>
        <w:t xml:space="preserve">. 1/2021 </w:t>
      </w:r>
      <w:r w:rsidRPr="004609CE">
        <w:rPr>
          <w:rFonts w:ascii="Arial" w:hAnsi="Arial" w:cs="Arial"/>
          <w:color w:val="auto"/>
        </w:rPr>
        <w:t>o</w:t>
      </w:r>
      <w:r w:rsidR="001F7560" w:rsidRPr="004609CE">
        <w:rPr>
          <w:rFonts w:ascii="Arial" w:hAnsi="Arial" w:cs="Arial"/>
          <w:color w:val="auto"/>
        </w:rPr>
        <w:t xml:space="preserve"> pravidlech pro pohyb psů na veřejných prostranstvích</w:t>
      </w:r>
      <w:r w:rsidRPr="004609CE">
        <w:rPr>
          <w:rFonts w:ascii="Arial" w:hAnsi="Arial" w:cs="Arial"/>
          <w:color w:val="auto"/>
        </w:rPr>
        <w:t>, ze dne</w:t>
      </w:r>
      <w:r w:rsidR="008E6F77" w:rsidRPr="004609CE">
        <w:rPr>
          <w:rFonts w:ascii="Arial" w:hAnsi="Arial" w:cs="Arial"/>
          <w:color w:val="auto"/>
        </w:rPr>
        <w:t xml:space="preserve"> </w:t>
      </w:r>
      <w:r w:rsidR="00D34514" w:rsidRPr="004609CE">
        <w:rPr>
          <w:rFonts w:ascii="Arial" w:hAnsi="Arial" w:cs="Arial"/>
          <w:color w:val="auto"/>
        </w:rPr>
        <w:t>9. 8. 2021</w:t>
      </w:r>
      <w:r w:rsidR="001F7560" w:rsidRPr="004609CE">
        <w:rPr>
          <w:rFonts w:ascii="Arial" w:hAnsi="Arial" w:cs="Arial"/>
          <w:color w:val="auto"/>
        </w:rPr>
        <w:t>.</w:t>
      </w:r>
    </w:p>
    <w:p w14:paraId="62CFC033" w14:textId="77777777" w:rsidR="001F7560" w:rsidRPr="004609CE" w:rsidRDefault="001F7560">
      <w:pPr>
        <w:pStyle w:val="Seznamoslovan"/>
        <w:tabs>
          <w:tab w:val="left" w:pos="720"/>
        </w:tabs>
        <w:spacing w:after="0" w:line="312" w:lineRule="auto"/>
        <w:rPr>
          <w:rFonts w:ascii="Arial" w:eastAsia="Arial" w:hAnsi="Arial" w:cs="Arial"/>
          <w:color w:val="auto"/>
        </w:rPr>
      </w:pPr>
    </w:p>
    <w:p w14:paraId="1457FF82" w14:textId="77777777" w:rsidR="004D5CAF" w:rsidRPr="004609CE" w:rsidRDefault="004D5CAF">
      <w:pPr>
        <w:pStyle w:val="Seznamoslovan"/>
        <w:tabs>
          <w:tab w:val="left" w:pos="720"/>
        </w:tabs>
        <w:spacing w:after="0" w:line="312" w:lineRule="auto"/>
        <w:rPr>
          <w:rFonts w:ascii="Arial" w:eastAsia="Arial" w:hAnsi="Arial" w:cs="Arial"/>
          <w:color w:val="auto"/>
        </w:rPr>
      </w:pPr>
    </w:p>
    <w:p w14:paraId="0EF1E855" w14:textId="77777777" w:rsidR="004D5CAF" w:rsidRPr="004609CE" w:rsidRDefault="004147C9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color w:val="auto"/>
        </w:rPr>
      </w:pPr>
      <w:r w:rsidRPr="004609CE">
        <w:rPr>
          <w:rFonts w:ascii="Arial" w:hAnsi="Arial" w:cs="Arial"/>
          <w:b/>
          <w:bCs/>
          <w:color w:val="auto"/>
        </w:rPr>
        <w:t>Čl. 4</w:t>
      </w:r>
    </w:p>
    <w:p w14:paraId="716AD101" w14:textId="77777777" w:rsidR="004D5CAF" w:rsidRPr="004609CE" w:rsidRDefault="004147C9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color w:val="auto"/>
        </w:rPr>
      </w:pPr>
      <w:r w:rsidRPr="004609CE">
        <w:rPr>
          <w:rFonts w:ascii="Arial" w:hAnsi="Arial" w:cs="Arial"/>
          <w:b/>
          <w:bCs/>
          <w:color w:val="auto"/>
        </w:rPr>
        <w:t>Účinnost</w:t>
      </w:r>
    </w:p>
    <w:p w14:paraId="29E1022F" w14:textId="77777777" w:rsidR="004D5CAF" w:rsidRPr="004609CE" w:rsidRDefault="004D5CAF">
      <w:pPr>
        <w:pStyle w:val="Zkladntext"/>
        <w:spacing w:after="0" w:line="312" w:lineRule="auto"/>
        <w:jc w:val="center"/>
        <w:rPr>
          <w:rFonts w:ascii="Arial" w:eastAsia="Arial" w:hAnsi="Arial" w:cs="Arial"/>
          <w:b/>
          <w:bCs/>
          <w:color w:val="auto"/>
        </w:rPr>
      </w:pPr>
    </w:p>
    <w:p w14:paraId="5C7CA048" w14:textId="338A76FB" w:rsidR="004147C9" w:rsidRPr="00742BE8" w:rsidRDefault="004609CE" w:rsidP="004147C9">
      <w:pPr>
        <w:pStyle w:val="Normlnweb"/>
        <w:spacing w:after="120"/>
        <w:rPr>
          <w:rFonts w:ascii="Arial" w:eastAsia="Arial Unicode MS" w:hAnsi="Arial" w:cs="Arial"/>
          <w:bdr w:val="nil"/>
        </w:rPr>
      </w:pPr>
      <w:r w:rsidRPr="00742BE8">
        <w:rPr>
          <w:rFonts w:ascii="Arial" w:eastAsia="Arial Unicode MS" w:hAnsi="Arial" w:cs="Arial"/>
          <w:bdr w:val="nil"/>
        </w:rPr>
        <w:t>Tato obecně závazná vyhláška nabývá účinnosti počátkem patnáctého dne následujícího po dni jejího vyhlášení.</w:t>
      </w:r>
    </w:p>
    <w:p w14:paraId="4068962F" w14:textId="77777777" w:rsidR="004D5CAF" w:rsidRPr="004609CE" w:rsidRDefault="004D5CAF">
      <w:pPr>
        <w:pStyle w:val="Zkladntext"/>
        <w:spacing w:after="0" w:line="312" w:lineRule="auto"/>
        <w:rPr>
          <w:rFonts w:ascii="Arial" w:eastAsia="Arial" w:hAnsi="Arial" w:cs="Arial"/>
          <w:color w:val="auto"/>
        </w:rPr>
      </w:pPr>
    </w:p>
    <w:p w14:paraId="075665C4" w14:textId="453EE70B" w:rsidR="004D5CAF" w:rsidRPr="004609CE" w:rsidRDefault="004D5CAF">
      <w:pPr>
        <w:pStyle w:val="Zkladntext"/>
        <w:spacing w:after="0" w:line="312" w:lineRule="auto"/>
        <w:rPr>
          <w:rFonts w:ascii="Arial" w:eastAsia="Arial" w:hAnsi="Arial" w:cs="Arial"/>
          <w:color w:val="auto"/>
        </w:rPr>
      </w:pPr>
    </w:p>
    <w:p w14:paraId="19325A94" w14:textId="3BC9A17A" w:rsidR="005A5A94" w:rsidRPr="004609CE" w:rsidRDefault="005A5A94">
      <w:pPr>
        <w:pStyle w:val="Zkladntext"/>
        <w:spacing w:after="0" w:line="312" w:lineRule="auto"/>
        <w:rPr>
          <w:rFonts w:ascii="Arial" w:eastAsia="Arial" w:hAnsi="Arial" w:cs="Arial"/>
          <w:color w:val="auto"/>
        </w:rPr>
      </w:pPr>
    </w:p>
    <w:p w14:paraId="4144AAA0" w14:textId="77777777" w:rsidR="005A5A94" w:rsidRPr="004609CE" w:rsidRDefault="005A5A94">
      <w:pPr>
        <w:pStyle w:val="Zkladntext"/>
        <w:spacing w:after="0" w:line="312" w:lineRule="auto"/>
        <w:rPr>
          <w:rFonts w:ascii="Arial" w:eastAsia="Arial" w:hAnsi="Arial" w:cs="Arial"/>
          <w:color w:val="auto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D34514" w:rsidRPr="004609CE" w14:paraId="0B29BA64" w14:textId="77777777" w:rsidTr="006052B1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7F5E3F8" w14:textId="77777777" w:rsidR="00D34514" w:rsidRPr="004609CE" w:rsidRDefault="00D34514" w:rsidP="006052B1">
            <w:pPr>
              <w:pStyle w:val="PodpisovePole"/>
              <w:rPr>
                <w:sz w:val="24"/>
                <w:szCs w:val="24"/>
              </w:rPr>
            </w:pPr>
            <w:r w:rsidRPr="004609CE">
              <w:rPr>
                <w:sz w:val="24"/>
                <w:szCs w:val="24"/>
              </w:rPr>
              <w:t>Ing. Zdeněk Homoláč v. r.</w:t>
            </w:r>
            <w:r w:rsidRPr="004609CE">
              <w:rPr>
                <w:sz w:val="24"/>
                <w:szCs w:val="24"/>
              </w:rP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F3764FA" w14:textId="77777777" w:rsidR="00D34514" w:rsidRPr="004609CE" w:rsidRDefault="00D34514" w:rsidP="006052B1">
            <w:pPr>
              <w:pStyle w:val="PodpisovePole"/>
              <w:rPr>
                <w:sz w:val="24"/>
                <w:szCs w:val="24"/>
              </w:rPr>
            </w:pPr>
            <w:r w:rsidRPr="004609CE">
              <w:rPr>
                <w:sz w:val="24"/>
                <w:szCs w:val="24"/>
              </w:rPr>
              <w:t>Bc. Ing. Jana Deutscherová v. r.</w:t>
            </w:r>
            <w:r w:rsidRPr="004609CE">
              <w:rPr>
                <w:sz w:val="24"/>
                <w:szCs w:val="24"/>
              </w:rPr>
              <w:br/>
              <w:t xml:space="preserve"> místostarostka</w:t>
            </w:r>
          </w:p>
        </w:tc>
      </w:tr>
    </w:tbl>
    <w:p w14:paraId="7D334E27" w14:textId="025285C9" w:rsidR="004D5CAF" w:rsidRPr="004609CE" w:rsidRDefault="004D5CAF">
      <w:pPr>
        <w:spacing w:line="312" w:lineRule="auto"/>
        <w:jc w:val="both"/>
        <w:rPr>
          <w:rFonts w:ascii="Arial" w:eastAsia="Arial" w:hAnsi="Arial" w:cs="Arial"/>
          <w:color w:val="auto"/>
        </w:rPr>
      </w:pPr>
    </w:p>
    <w:p w14:paraId="32E31256" w14:textId="4C434E6D" w:rsidR="005A5A94" w:rsidRPr="004609CE" w:rsidRDefault="005A5A94">
      <w:pPr>
        <w:spacing w:line="312" w:lineRule="auto"/>
        <w:jc w:val="both"/>
        <w:rPr>
          <w:rFonts w:ascii="Arial" w:eastAsia="Arial" w:hAnsi="Arial" w:cs="Arial"/>
          <w:color w:val="auto"/>
        </w:rPr>
      </w:pPr>
    </w:p>
    <w:p w14:paraId="344A36D7" w14:textId="77777777" w:rsidR="004D5CAF" w:rsidRPr="004609CE" w:rsidRDefault="004D5CAF">
      <w:pPr>
        <w:pStyle w:val="Zkladntext"/>
        <w:spacing w:after="0" w:line="312" w:lineRule="auto"/>
        <w:rPr>
          <w:rFonts w:ascii="Arial" w:eastAsia="Arial" w:hAnsi="Arial" w:cs="Arial"/>
          <w:i/>
          <w:iCs/>
          <w:color w:val="auto"/>
        </w:rPr>
      </w:pPr>
    </w:p>
    <w:p w14:paraId="6FB26F3E" w14:textId="77777777" w:rsidR="00D34514" w:rsidRPr="004609CE" w:rsidRDefault="00D34514" w:rsidP="005A5A94">
      <w:pPr>
        <w:pStyle w:val="Zkladntext2"/>
        <w:spacing w:after="0" w:line="312" w:lineRule="auto"/>
        <w:rPr>
          <w:rFonts w:ascii="Arial" w:eastAsia="Arial" w:hAnsi="Arial" w:cs="Arial"/>
          <w:color w:val="auto"/>
        </w:rPr>
      </w:pPr>
    </w:p>
    <w:p w14:paraId="5F393F6C" w14:textId="77777777" w:rsidR="0016012F" w:rsidRPr="004609CE" w:rsidRDefault="0016012F" w:rsidP="005A5A94">
      <w:pPr>
        <w:pStyle w:val="Zkladntext2"/>
        <w:spacing w:after="0" w:line="312" w:lineRule="auto"/>
        <w:rPr>
          <w:rFonts w:ascii="Arial" w:eastAsia="Arial" w:hAnsi="Arial" w:cs="Arial"/>
          <w:color w:val="auto"/>
        </w:rPr>
      </w:pPr>
    </w:p>
    <w:p w14:paraId="4DC0570E" w14:textId="77777777" w:rsidR="0016012F" w:rsidRPr="004609CE" w:rsidRDefault="0016012F" w:rsidP="005A5A94">
      <w:pPr>
        <w:pStyle w:val="Zkladntext2"/>
        <w:spacing w:after="0" w:line="312" w:lineRule="auto"/>
        <w:rPr>
          <w:rFonts w:ascii="Arial" w:eastAsia="Arial" w:hAnsi="Arial" w:cs="Arial"/>
          <w:color w:val="auto"/>
        </w:rPr>
      </w:pPr>
    </w:p>
    <w:p w14:paraId="1D59484E" w14:textId="77777777" w:rsidR="0016012F" w:rsidRPr="004609CE" w:rsidRDefault="0016012F" w:rsidP="005A5A94">
      <w:pPr>
        <w:pStyle w:val="Zkladntext2"/>
        <w:spacing w:after="0" w:line="312" w:lineRule="auto"/>
        <w:rPr>
          <w:rFonts w:ascii="Arial" w:eastAsia="Arial" w:hAnsi="Arial" w:cs="Arial"/>
          <w:color w:val="auto"/>
        </w:rPr>
      </w:pPr>
    </w:p>
    <w:p w14:paraId="4287D35E" w14:textId="77777777" w:rsidR="0016012F" w:rsidRPr="004609CE" w:rsidRDefault="0016012F" w:rsidP="005A5A94">
      <w:pPr>
        <w:pStyle w:val="Zkladntext2"/>
        <w:spacing w:after="0" w:line="312" w:lineRule="auto"/>
        <w:rPr>
          <w:rFonts w:ascii="Arial" w:eastAsia="Arial" w:hAnsi="Arial" w:cs="Arial"/>
          <w:color w:val="auto"/>
        </w:rPr>
      </w:pPr>
    </w:p>
    <w:p w14:paraId="320FBB01" w14:textId="77777777" w:rsidR="0016012F" w:rsidRPr="004609CE" w:rsidRDefault="0016012F" w:rsidP="005A5A94">
      <w:pPr>
        <w:pStyle w:val="Zkladntext2"/>
        <w:spacing w:after="0" w:line="312" w:lineRule="auto"/>
        <w:rPr>
          <w:rFonts w:ascii="Arial" w:eastAsia="Arial" w:hAnsi="Arial" w:cs="Arial"/>
          <w:color w:val="auto"/>
        </w:rPr>
      </w:pPr>
    </w:p>
    <w:p w14:paraId="18AF96FE" w14:textId="77777777" w:rsidR="00D34514" w:rsidRPr="004609CE" w:rsidRDefault="00D34514" w:rsidP="005A5A94">
      <w:pPr>
        <w:pStyle w:val="Zkladntext2"/>
        <w:spacing w:after="0" w:line="312" w:lineRule="auto"/>
        <w:rPr>
          <w:rFonts w:ascii="Arial" w:eastAsia="Arial" w:hAnsi="Arial" w:cs="Arial"/>
          <w:color w:val="auto"/>
        </w:rPr>
      </w:pPr>
    </w:p>
    <w:p w14:paraId="08CF7174" w14:textId="16D5AF46" w:rsidR="00F31742" w:rsidRPr="004609CE" w:rsidRDefault="00F31742" w:rsidP="00F31742">
      <w:pPr>
        <w:pStyle w:val="Zkladntext2"/>
        <w:spacing w:after="0" w:line="312" w:lineRule="auto"/>
        <w:rPr>
          <w:rFonts w:ascii="Arial" w:hAnsi="Arial" w:cs="Arial"/>
          <w:color w:val="auto"/>
        </w:rPr>
      </w:pPr>
      <w:r w:rsidRPr="004609CE">
        <w:rPr>
          <w:rFonts w:ascii="Arial" w:hAnsi="Arial" w:cs="Arial"/>
          <w:color w:val="auto"/>
        </w:rPr>
        <w:t xml:space="preserve">Příloha č. </w:t>
      </w:r>
      <w:r w:rsidR="0016012F" w:rsidRPr="004609CE">
        <w:rPr>
          <w:rFonts w:ascii="Arial" w:hAnsi="Arial" w:cs="Arial"/>
          <w:color w:val="auto"/>
        </w:rPr>
        <w:t>1</w:t>
      </w:r>
      <w:r w:rsidRPr="004609CE">
        <w:rPr>
          <w:rFonts w:ascii="Arial" w:hAnsi="Arial" w:cs="Arial"/>
          <w:color w:val="auto"/>
        </w:rPr>
        <w:t xml:space="preserve"> k obecně závazné vyhlášce obce Chudčice, kterou se stanovují pravidla pro pohyb psů na veřejném prostranství v obci Chudčice a vymezují prostory pro </w:t>
      </w:r>
    </w:p>
    <w:p w14:paraId="7EC79DDC" w14:textId="1DA87371" w:rsidR="004D5CAF" w:rsidRPr="004609CE" w:rsidRDefault="00F31742" w:rsidP="00D34514">
      <w:pPr>
        <w:pStyle w:val="Zkladntext2"/>
        <w:spacing w:after="0" w:line="312" w:lineRule="auto"/>
        <w:rPr>
          <w:rFonts w:ascii="Arial" w:hAnsi="Arial" w:cs="Arial"/>
          <w:color w:val="auto"/>
        </w:rPr>
      </w:pPr>
      <w:r w:rsidRPr="004609CE">
        <w:rPr>
          <w:rFonts w:ascii="Arial" w:hAnsi="Arial" w:cs="Arial"/>
          <w:color w:val="auto"/>
        </w:rPr>
        <w:t>volné pobíhání psů.</w:t>
      </w:r>
    </w:p>
    <w:sectPr w:rsidR="004D5CAF" w:rsidRPr="004609CE">
      <w:type w:val="continuous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D0A1A" w14:textId="77777777" w:rsidR="00B87FC7" w:rsidRDefault="00B87FC7">
      <w:r>
        <w:separator/>
      </w:r>
    </w:p>
  </w:endnote>
  <w:endnote w:type="continuationSeparator" w:id="0">
    <w:p w14:paraId="4A31E63F" w14:textId="77777777" w:rsidR="00B87FC7" w:rsidRDefault="00B87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6FE41" w14:textId="77777777" w:rsidR="004D5CAF" w:rsidRDefault="004D5CAF">
    <w:pPr>
      <w:pStyle w:val="Zhlava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032D6" w14:textId="77777777" w:rsidR="00B87FC7" w:rsidRDefault="00B87FC7">
      <w:r>
        <w:separator/>
      </w:r>
    </w:p>
  </w:footnote>
  <w:footnote w:type="continuationSeparator" w:id="0">
    <w:p w14:paraId="5A1133A9" w14:textId="77777777" w:rsidR="00B87FC7" w:rsidRDefault="00B87FC7">
      <w:r>
        <w:continuationSeparator/>
      </w:r>
    </w:p>
  </w:footnote>
  <w:footnote w:type="continuationNotice" w:id="1">
    <w:p w14:paraId="1A4E6D86" w14:textId="77777777" w:rsidR="00B87FC7" w:rsidRDefault="00B87FC7"/>
  </w:footnote>
  <w:footnote w:id="2">
    <w:p w14:paraId="43DB4170" w14:textId="77777777" w:rsidR="004D5CAF" w:rsidRDefault="004147C9">
      <w:pPr>
        <w:pStyle w:val="Textpoznpodarou"/>
        <w:ind w:left="142" w:hanging="142"/>
        <w:jc w:val="both"/>
      </w:pPr>
      <w:r>
        <w:rPr>
          <w:rFonts w:ascii="Arial" w:eastAsia="Arial" w:hAnsi="Arial" w:cs="Arial"/>
          <w:vertAlign w:val="superscript"/>
        </w:rPr>
        <w:footnoteRef/>
      </w:r>
      <w:r>
        <w:rPr>
          <w:rFonts w:ascii="Arial" w:hAnsi="Arial"/>
          <w:vertAlign w:val="superscript"/>
        </w:rPr>
        <w:t>)</w:t>
      </w:r>
      <w:r>
        <w:rPr>
          <w:rFonts w:ascii="Arial" w:hAnsi="Arial"/>
        </w:rPr>
        <w:t xml:space="preserve"> § </w:t>
      </w:r>
      <w:r>
        <w:rPr>
          <w:rFonts w:ascii="Arial" w:hAnsi="Arial"/>
          <w:lang w:val="de-DE"/>
        </w:rPr>
        <w:t>34 z</w:t>
      </w:r>
      <w:proofErr w:type="spellStart"/>
      <w:r>
        <w:rPr>
          <w:rFonts w:ascii="Arial" w:hAnsi="Arial"/>
        </w:rPr>
        <w:t>ákona</w:t>
      </w:r>
      <w:proofErr w:type="spellEnd"/>
      <w:r>
        <w:rPr>
          <w:rFonts w:ascii="Arial" w:hAnsi="Arial"/>
        </w:rPr>
        <w:t xml:space="preserve"> č. 128/2000 Sb., o obcích (obecní zřízení), ve znění pozdějších předpisů. </w:t>
      </w:r>
    </w:p>
  </w:footnote>
  <w:footnote w:id="3">
    <w:p w14:paraId="4D6A4FA3" w14:textId="77777777" w:rsidR="004D5CAF" w:rsidRDefault="004147C9">
      <w:pPr>
        <w:pStyle w:val="Default"/>
        <w:ind w:left="142" w:hanging="142"/>
        <w:jc w:val="both"/>
      </w:pPr>
      <w:r>
        <w:rPr>
          <w:vertAlign w:val="superscript"/>
        </w:rPr>
        <w:footnoteRef/>
      </w:r>
      <w:r>
        <w:rPr>
          <w:sz w:val="20"/>
          <w:szCs w:val="20"/>
          <w:vertAlign w:val="superscript"/>
        </w:rPr>
        <w:t>)</w:t>
      </w:r>
      <w:r>
        <w:rPr>
          <w:sz w:val="20"/>
          <w:szCs w:val="20"/>
        </w:rPr>
        <w:t xml:space="preserve"> Fyzickou osobou se rozumí např. chovatel psa, vlastník psa či jiná doprovázející osoba. Odchyt toulavých a opuštěných zvířat řeší např. § 42 zákona č. 166/1999 Sb., o veterinární péči a o změně některých souvisejících zákonů (veterinární zákon), ve znění pozdějších předpisů. Problematiku upravují rovněž další zvláštní právní předpisy, např. zákon č. 89/2012 Sb., občanský zákoník, ve znění pozdějších předpisů.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B71CA" w14:textId="77777777" w:rsidR="004D5CAF" w:rsidRDefault="004D5CAF">
    <w:pPr>
      <w:pStyle w:val="Zhlavazpa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8693E"/>
    <w:multiLevelType w:val="hybridMultilevel"/>
    <w:tmpl w:val="6FFC9F9E"/>
    <w:numStyleLink w:val="Importovanstyl3"/>
  </w:abstractNum>
  <w:abstractNum w:abstractNumId="1" w15:restartNumberingAfterBreak="0">
    <w:nsid w:val="23703B9A"/>
    <w:multiLevelType w:val="hybridMultilevel"/>
    <w:tmpl w:val="B93CD214"/>
    <w:numStyleLink w:val="Importovanstyl1"/>
  </w:abstractNum>
  <w:abstractNum w:abstractNumId="2" w15:restartNumberingAfterBreak="0">
    <w:nsid w:val="23B166FA"/>
    <w:multiLevelType w:val="hybridMultilevel"/>
    <w:tmpl w:val="D09EF0EE"/>
    <w:numStyleLink w:val="Importovanstyl4"/>
  </w:abstractNum>
  <w:abstractNum w:abstractNumId="3" w15:restartNumberingAfterBreak="0">
    <w:nsid w:val="271918A5"/>
    <w:multiLevelType w:val="hybridMultilevel"/>
    <w:tmpl w:val="6FFC9F9E"/>
    <w:styleLink w:val="Importovanstyl3"/>
    <w:lvl w:ilvl="0" w:tplc="0F36F56C">
      <w:start w:val="1"/>
      <w:numFmt w:val="decimal"/>
      <w:lvlText w:val="(%1)"/>
      <w:lvlJc w:val="left"/>
      <w:pPr>
        <w:ind w:left="426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B5E248F6">
      <w:start w:val="1"/>
      <w:numFmt w:val="lowerLetter"/>
      <w:lvlText w:val="%2)"/>
      <w:lvlJc w:val="left"/>
      <w:pPr>
        <w:tabs>
          <w:tab w:val="num" w:pos="708"/>
        </w:tabs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8CCB93E">
      <w:start w:val="1"/>
      <w:numFmt w:val="lowerRoman"/>
      <w:suff w:val="nothing"/>
      <w:lvlText w:val="%3."/>
      <w:lvlJc w:val="left"/>
      <w:pPr>
        <w:ind w:left="1559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F84B5F2">
      <w:start w:val="1"/>
      <w:numFmt w:val="decimal"/>
      <w:suff w:val="nothing"/>
      <w:lvlText w:val="%4."/>
      <w:lvlJc w:val="left"/>
      <w:pPr>
        <w:ind w:left="2267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228A458">
      <w:start w:val="1"/>
      <w:numFmt w:val="lowerLetter"/>
      <w:suff w:val="nothing"/>
      <w:lvlText w:val="%5."/>
      <w:lvlJc w:val="left"/>
      <w:pPr>
        <w:ind w:left="2975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F9E3D7A">
      <w:start w:val="1"/>
      <w:numFmt w:val="lowerRoman"/>
      <w:lvlText w:val="%6."/>
      <w:lvlJc w:val="left"/>
      <w:pPr>
        <w:tabs>
          <w:tab w:val="num" w:pos="3731"/>
        </w:tabs>
        <w:ind w:left="387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DF0AE8C">
      <w:start w:val="1"/>
      <w:numFmt w:val="decimal"/>
      <w:suff w:val="nothing"/>
      <w:lvlText w:val="%7."/>
      <w:lvlJc w:val="left"/>
      <w:pPr>
        <w:ind w:left="4391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82E4964">
      <w:start w:val="1"/>
      <w:numFmt w:val="lowerLetter"/>
      <w:suff w:val="nothing"/>
      <w:lvlText w:val="%8."/>
      <w:lvlJc w:val="left"/>
      <w:pPr>
        <w:ind w:left="5099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B526AF8">
      <w:start w:val="1"/>
      <w:numFmt w:val="lowerRoman"/>
      <w:lvlText w:val="%9."/>
      <w:lvlJc w:val="left"/>
      <w:pPr>
        <w:tabs>
          <w:tab w:val="num" w:pos="5891"/>
        </w:tabs>
        <w:ind w:left="603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33E177CB"/>
    <w:multiLevelType w:val="hybridMultilevel"/>
    <w:tmpl w:val="D09EF0EE"/>
    <w:styleLink w:val="Importovanstyl4"/>
    <w:lvl w:ilvl="0" w:tplc="8014020A">
      <w:start w:val="1"/>
      <w:numFmt w:val="decimal"/>
      <w:lvlText w:val="(%1)"/>
      <w:lvlJc w:val="left"/>
      <w:pPr>
        <w:ind w:left="35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8EDE8364">
      <w:start w:val="1"/>
      <w:numFmt w:val="lowerLetter"/>
      <w:lvlText w:val="%2)"/>
      <w:lvlJc w:val="left"/>
      <w:pPr>
        <w:ind w:left="107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B54D9C0">
      <w:start w:val="1"/>
      <w:numFmt w:val="lowerRoman"/>
      <w:lvlText w:val="%3."/>
      <w:lvlJc w:val="left"/>
      <w:pPr>
        <w:ind w:left="1797" w:hanging="29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8E4F6CE">
      <w:start w:val="1"/>
      <w:numFmt w:val="decimal"/>
      <w:lvlText w:val="%4."/>
      <w:lvlJc w:val="left"/>
      <w:pPr>
        <w:ind w:left="251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0DCEF90">
      <w:start w:val="1"/>
      <w:numFmt w:val="lowerLetter"/>
      <w:lvlText w:val="%5."/>
      <w:lvlJc w:val="left"/>
      <w:pPr>
        <w:ind w:left="323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6AAEB90">
      <w:start w:val="1"/>
      <w:numFmt w:val="lowerRoman"/>
      <w:lvlText w:val="%6."/>
      <w:lvlJc w:val="left"/>
      <w:pPr>
        <w:ind w:left="3957" w:hanging="29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B8459B0">
      <w:start w:val="1"/>
      <w:numFmt w:val="decimal"/>
      <w:lvlText w:val="%7."/>
      <w:lvlJc w:val="left"/>
      <w:pPr>
        <w:ind w:left="467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EA4E84A">
      <w:start w:val="1"/>
      <w:numFmt w:val="lowerLetter"/>
      <w:lvlText w:val="%8."/>
      <w:lvlJc w:val="left"/>
      <w:pPr>
        <w:ind w:left="5397" w:hanging="357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2F4AE2A">
      <w:start w:val="1"/>
      <w:numFmt w:val="lowerRoman"/>
      <w:lvlText w:val="%9."/>
      <w:lvlJc w:val="left"/>
      <w:pPr>
        <w:ind w:left="6117" w:hanging="299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7EAD7AB9"/>
    <w:multiLevelType w:val="hybridMultilevel"/>
    <w:tmpl w:val="B93CD214"/>
    <w:styleLink w:val="Importovanstyl1"/>
    <w:lvl w:ilvl="0" w:tplc="092AE7F6">
      <w:start w:val="1"/>
      <w:numFmt w:val="decimal"/>
      <w:lvlText w:val="(%1)"/>
      <w:lvlJc w:val="left"/>
      <w:pPr>
        <w:ind w:left="426" w:hanging="426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6812D592">
      <w:start w:val="1"/>
      <w:numFmt w:val="lowerLetter"/>
      <w:lvlText w:val="%2)"/>
      <w:lvlJc w:val="left"/>
      <w:pPr>
        <w:tabs>
          <w:tab w:val="num" w:pos="708"/>
        </w:tabs>
        <w:ind w:left="851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B867878">
      <w:start w:val="1"/>
      <w:numFmt w:val="lowerRoman"/>
      <w:suff w:val="nothing"/>
      <w:lvlText w:val="%3."/>
      <w:lvlJc w:val="left"/>
      <w:pPr>
        <w:ind w:left="1559" w:hanging="29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926B5CE">
      <w:start w:val="1"/>
      <w:numFmt w:val="decimal"/>
      <w:suff w:val="nothing"/>
      <w:lvlText w:val="%4."/>
      <w:lvlJc w:val="left"/>
      <w:pPr>
        <w:ind w:left="2267" w:hanging="3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C4430E0">
      <w:start w:val="1"/>
      <w:numFmt w:val="lowerLetter"/>
      <w:suff w:val="nothing"/>
      <w:lvlText w:val="%5."/>
      <w:lvlJc w:val="left"/>
      <w:pPr>
        <w:ind w:left="2975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CA074D6">
      <w:start w:val="1"/>
      <w:numFmt w:val="lowerRoman"/>
      <w:lvlText w:val="%6."/>
      <w:lvlJc w:val="left"/>
      <w:pPr>
        <w:tabs>
          <w:tab w:val="num" w:pos="3731"/>
        </w:tabs>
        <w:ind w:left="387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66880FC">
      <w:start w:val="1"/>
      <w:numFmt w:val="decimal"/>
      <w:suff w:val="nothing"/>
      <w:lvlText w:val="%7."/>
      <w:lvlJc w:val="left"/>
      <w:pPr>
        <w:ind w:left="4391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EC04DAC">
      <w:start w:val="1"/>
      <w:numFmt w:val="lowerLetter"/>
      <w:suff w:val="nothing"/>
      <w:lvlText w:val="%8."/>
      <w:lvlJc w:val="left"/>
      <w:pPr>
        <w:ind w:left="5099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0AA0424">
      <w:start w:val="1"/>
      <w:numFmt w:val="lowerRoman"/>
      <w:lvlText w:val="%9."/>
      <w:lvlJc w:val="left"/>
      <w:pPr>
        <w:tabs>
          <w:tab w:val="num" w:pos="5891"/>
        </w:tabs>
        <w:ind w:left="6034" w:hanging="44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353337736">
    <w:abstractNumId w:val="5"/>
  </w:num>
  <w:num w:numId="2" w16cid:durableId="290333081">
    <w:abstractNumId w:val="1"/>
  </w:num>
  <w:num w:numId="3" w16cid:durableId="1401101116">
    <w:abstractNumId w:val="1"/>
    <w:lvlOverride w:ilvl="0">
      <w:lvl w:ilvl="0" w:tplc="97D8ADC4">
        <w:start w:val="1"/>
        <w:numFmt w:val="decimal"/>
        <w:lvlText w:val="(%1)"/>
        <w:lvlJc w:val="left"/>
        <w:pPr>
          <w:ind w:left="42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D5D4BCCC">
        <w:start w:val="1"/>
        <w:numFmt w:val="lowerLetter"/>
        <w:lvlText w:val="%2)"/>
        <w:lvlJc w:val="left"/>
        <w:pPr>
          <w:ind w:left="114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2C47E36">
        <w:start w:val="1"/>
        <w:numFmt w:val="lowerRoman"/>
        <w:lvlText w:val="%3."/>
        <w:lvlJc w:val="left"/>
        <w:pPr>
          <w:ind w:left="1865" w:hanging="3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354975A">
        <w:start w:val="1"/>
        <w:numFmt w:val="decimal"/>
        <w:lvlText w:val="%4."/>
        <w:lvlJc w:val="left"/>
        <w:pPr>
          <w:ind w:left="258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47A9EE6">
        <w:start w:val="1"/>
        <w:numFmt w:val="lowerLetter"/>
        <w:lvlText w:val="%5."/>
        <w:lvlJc w:val="left"/>
        <w:pPr>
          <w:ind w:left="330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E682E64">
        <w:start w:val="1"/>
        <w:numFmt w:val="lowerRoman"/>
        <w:lvlText w:val="%6."/>
        <w:lvlJc w:val="left"/>
        <w:pPr>
          <w:ind w:left="4025" w:hanging="3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94E3810">
        <w:start w:val="1"/>
        <w:numFmt w:val="decimal"/>
        <w:lvlText w:val="%7."/>
        <w:lvlJc w:val="left"/>
        <w:pPr>
          <w:ind w:left="474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138AB68">
        <w:start w:val="1"/>
        <w:numFmt w:val="lowerLetter"/>
        <w:lvlText w:val="%8."/>
        <w:lvlJc w:val="left"/>
        <w:pPr>
          <w:ind w:left="5465" w:hanging="425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092753A">
        <w:start w:val="1"/>
        <w:numFmt w:val="lowerRoman"/>
        <w:lvlText w:val="%9."/>
        <w:lvlJc w:val="left"/>
        <w:pPr>
          <w:ind w:left="6185" w:hanging="367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359284075">
    <w:abstractNumId w:val="3"/>
  </w:num>
  <w:num w:numId="5" w16cid:durableId="2002465517">
    <w:abstractNumId w:val="0"/>
  </w:num>
  <w:num w:numId="6" w16cid:durableId="473835965">
    <w:abstractNumId w:val="0"/>
    <w:lvlOverride w:ilvl="0">
      <w:lvl w:ilvl="0" w:tplc="A788BC58">
        <w:start w:val="1"/>
        <w:numFmt w:val="decimal"/>
        <w:lvlText w:val="(%1)"/>
        <w:lvlJc w:val="left"/>
        <w:pPr>
          <w:ind w:left="42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24285418">
        <w:start w:val="1"/>
        <w:numFmt w:val="lowerLetter"/>
        <w:lvlText w:val="%2)"/>
        <w:lvlJc w:val="left"/>
        <w:pPr>
          <w:ind w:left="114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4466EA2">
        <w:start w:val="1"/>
        <w:numFmt w:val="lowerRoman"/>
        <w:lvlText w:val="%3."/>
        <w:lvlJc w:val="left"/>
        <w:pPr>
          <w:ind w:left="1866" w:hanging="36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CD013A8">
        <w:start w:val="1"/>
        <w:numFmt w:val="decimal"/>
        <w:lvlText w:val="%4."/>
        <w:lvlJc w:val="left"/>
        <w:pPr>
          <w:ind w:left="258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DEC3D88">
        <w:start w:val="1"/>
        <w:numFmt w:val="lowerLetter"/>
        <w:lvlText w:val="%5."/>
        <w:lvlJc w:val="left"/>
        <w:pPr>
          <w:ind w:left="330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632A4A8">
        <w:start w:val="1"/>
        <w:numFmt w:val="lowerRoman"/>
        <w:lvlText w:val="%6."/>
        <w:lvlJc w:val="left"/>
        <w:pPr>
          <w:ind w:left="4026" w:hanging="36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36468BA8">
        <w:start w:val="1"/>
        <w:numFmt w:val="decimal"/>
        <w:lvlText w:val="%7."/>
        <w:lvlJc w:val="left"/>
        <w:pPr>
          <w:ind w:left="474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38A7E84">
        <w:start w:val="1"/>
        <w:numFmt w:val="lowerLetter"/>
        <w:lvlText w:val="%8."/>
        <w:lvlJc w:val="left"/>
        <w:pPr>
          <w:ind w:left="5466" w:hanging="426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864CBA2">
        <w:start w:val="1"/>
        <w:numFmt w:val="lowerRoman"/>
        <w:lvlText w:val="%9."/>
        <w:lvlJc w:val="left"/>
        <w:pPr>
          <w:ind w:left="6186" w:hanging="368"/>
        </w:pPr>
        <w:rPr>
          <w:rFonts w:ascii="Arial" w:eastAsia="Arial" w:hAnsi="Arial" w:cs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 w16cid:durableId="1353922133">
    <w:abstractNumId w:val="4"/>
  </w:num>
  <w:num w:numId="8" w16cid:durableId="1255116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CAF"/>
    <w:rsid w:val="00006395"/>
    <w:rsid w:val="000A4863"/>
    <w:rsid w:val="00127803"/>
    <w:rsid w:val="00132CE7"/>
    <w:rsid w:val="00142F4A"/>
    <w:rsid w:val="0016012F"/>
    <w:rsid w:val="001F7560"/>
    <w:rsid w:val="002031F4"/>
    <w:rsid w:val="00250CB3"/>
    <w:rsid w:val="0027446E"/>
    <w:rsid w:val="003C7CD6"/>
    <w:rsid w:val="004147C9"/>
    <w:rsid w:val="004609CE"/>
    <w:rsid w:val="0049584A"/>
    <w:rsid w:val="004D5CAF"/>
    <w:rsid w:val="00506649"/>
    <w:rsid w:val="005A5A94"/>
    <w:rsid w:val="005D0220"/>
    <w:rsid w:val="00602B26"/>
    <w:rsid w:val="006368C4"/>
    <w:rsid w:val="00706701"/>
    <w:rsid w:val="00736EA8"/>
    <w:rsid w:val="00742BE8"/>
    <w:rsid w:val="00755801"/>
    <w:rsid w:val="007D5A21"/>
    <w:rsid w:val="00845D6F"/>
    <w:rsid w:val="00863E87"/>
    <w:rsid w:val="0088721B"/>
    <w:rsid w:val="008E6F77"/>
    <w:rsid w:val="00A105E2"/>
    <w:rsid w:val="00B02080"/>
    <w:rsid w:val="00B4147A"/>
    <w:rsid w:val="00B54873"/>
    <w:rsid w:val="00B87FC7"/>
    <w:rsid w:val="00B9509F"/>
    <w:rsid w:val="00BA773C"/>
    <w:rsid w:val="00C00B5C"/>
    <w:rsid w:val="00C073E1"/>
    <w:rsid w:val="00C54F41"/>
    <w:rsid w:val="00CA3942"/>
    <w:rsid w:val="00D339C5"/>
    <w:rsid w:val="00D34514"/>
    <w:rsid w:val="00D9104E"/>
    <w:rsid w:val="00DF7DB2"/>
    <w:rsid w:val="00E23FBA"/>
    <w:rsid w:val="00E534D2"/>
    <w:rsid w:val="00E86E8D"/>
    <w:rsid w:val="00F041F4"/>
    <w:rsid w:val="00F22627"/>
    <w:rsid w:val="00F31742"/>
    <w:rsid w:val="00F60D21"/>
    <w:rsid w:val="00FD115D"/>
    <w:rsid w:val="00FD6E5F"/>
    <w:rsid w:val="00FF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67441"/>
  <w15:docId w15:val="{0638C81D-B0C2-45AF-83A4-DC01158AE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rFonts w:cs="Arial Unicode MS"/>
      <w:color w:val="000000"/>
      <w:sz w:val="24"/>
      <w:szCs w:val="24"/>
      <w:u w:color="000000"/>
    </w:rPr>
  </w:style>
  <w:style w:type="paragraph" w:styleId="Nadpis2">
    <w:name w:val="heading 2"/>
    <w:next w:val="Normln"/>
    <w:pPr>
      <w:keepNext/>
      <w:jc w:val="both"/>
      <w:outlineLvl w:val="1"/>
    </w:pPr>
    <w:rPr>
      <w:rFonts w:cs="Arial Unicode MS"/>
      <w:color w:val="000000"/>
      <w:sz w:val="24"/>
      <w:szCs w:val="24"/>
      <w:u w:val="single" w:color="000000"/>
      <w14:textOutline w14:w="0" w14:cap="flat" w14:cmpd="sng" w14:algn="ctr">
        <w14:noFill/>
        <w14:prstDash w14:val="solid"/>
        <w14:bevel/>
      </w14:textOutline>
    </w:rPr>
  </w:style>
  <w:style w:type="paragraph" w:styleId="Nadpis5">
    <w:name w:val="heading 5"/>
    <w:next w:val="Normln"/>
    <w:pPr>
      <w:spacing w:before="240" w:after="60"/>
      <w:outlineLvl w:val="4"/>
    </w:pPr>
    <w:rPr>
      <w:rFonts w:cs="Arial Unicode MS"/>
      <w:b/>
      <w:bCs/>
      <w:i/>
      <w:iCs/>
      <w:color w:val="000000"/>
      <w:sz w:val="26"/>
      <w:szCs w:val="26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hlav">
    <w:name w:val="header"/>
    <w:pPr>
      <w:tabs>
        <w:tab w:val="center" w:pos="4536"/>
        <w:tab w:val="right" w:pos="9072"/>
      </w:tabs>
    </w:pPr>
    <w:rPr>
      <w:rFonts w:eastAsia="Times New Roman"/>
      <w:color w:val="000000"/>
      <w:sz w:val="24"/>
      <w:szCs w:val="24"/>
      <w:u w:color="000000"/>
    </w:rPr>
  </w:style>
  <w:style w:type="paragraph" w:styleId="Zkladntext">
    <w:name w:val="Body Text"/>
    <w:pPr>
      <w:spacing w:after="120"/>
    </w:pPr>
    <w:rPr>
      <w:rFonts w:eastAsia="Times New Roman"/>
      <w:color w:val="000000"/>
      <w:sz w:val="24"/>
      <w:szCs w:val="24"/>
      <w:u w:color="000000"/>
    </w:rPr>
  </w:style>
  <w:style w:type="paragraph" w:customStyle="1" w:styleId="NormlnIMP">
    <w:name w:val="Normální_IMP"/>
    <w:pPr>
      <w:suppressAutoHyphens/>
      <w:spacing w:line="230" w:lineRule="auto"/>
      <w:jc w:val="both"/>
    </w:pPr>
    <w:rPr>
      <w:rFonts w:cs="Arial Unicode MS"/>
      <w:color w:val="000000"/>
      <w:sz w:val="24"/>
      <w:szCs w:val="24"/>
      <w:u w:color="000000"/>
    </w:rPr>
  </w:style>
  <w:style w:type="paragraph" w:styleId="Odstavecseseznamem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ovanstyl1">
    <w:name w:val="Importovaný styl 1"/>
    <w:pPr>
      <w:numPr>
        <w:numId w:val="1"/>
      </w:numPr>
    </w:pPr>
  </w:style>
  <w:style w:type="character" w:styleId="Znakapoznpodarou">
    <w:name w:val="footnote reference"/>
    <w:rPr>
      <w:vertAlign w:val="superscript"/>
    </w:rPr>
  </w:style>
  <w:style w:type="paragraph" w:styleId="Textpoznpodarou">
    <w:name w:val="footnote text"/>
    <w:rPr>
      <w:rFonts w:eastAsia="Times New Roman"/>
      <w:color w:val="000000"/>
      <w:u w:color="000000"/>
    </w:rPr>
  </w:style>
  <w:style w:type="paragraph" w:customStyle="1" w:styleId="Default">
    <w:name w:val="Default"/>
    <w:rPr>
      <w:rFonts w:ascii="Arial" w:eastAsia="Arial" w:hAnsi="Arial" w:cs="Arial"/>
      <w:color w:val="000000"/>
      <w:sz w:val="24"/>
      <w:szCs w:val="24"/>
      <w:u w:color="000000"/>
    </w:rPr>
  </w:style>
  <w:style w:type="paragraph" w:customStyle="1" w:styleId="Seznamoslovan">
    <w:name w:val="Seznam očíslovaný"/>
    <w:pPr>
      <w:widowControl w:val="0"/>
      <w:tabs>
        <w:tab w:val="left" w:pos="6480"/>
      </w:tabs>
      <w:spacing w:after="113"/>
      <w:jc w:val="both"/>
    </w:pPr>
    <w:rPr>
      <w:rFonts w:cs="Arial Unicode MS"/>
      <w:color w:val="000000"/>
      <w:sz w:val="24"/>
      <w:szCs w:val="24"/>
      <w:u w:color="000000"/>
    </w:rPr>
  </w:style>
  <w:style w:type="paragraph" w:customStyle="1" w:styleId="Textparagrafu">
    <w:name w:val="Text paragrafu"/>
    <w:pPr>
      <w:spacing w:before="240"/>
      <w:ind w:firstLine="425"/>
      <w:jc w:val="both"/>
    </w:pPr>
    <w:rPr>
      <w:rFonts w:cs="Arial Unicode MS"/>
      <w:color w:val="000000"/>
      <w:sz w:val="24"/>
      <w:szCs w:val="24"/>
      <w:u w:color="000000"/>
    </w:rPr>
  </w:style>
  <w:style w:type="paragraph" w:styleId="Zkladntext2">
    <w:name w:val="Body Text 2"/>
    <w:pPr>
      <w:spacing w:after="120" w:line="480" w:lineRule="auto"/>
    </w:pPr>
    <w:rPr>
      <w:rFonts w:eastAsia="Times New Roman"/>
      <w:color w:val="000000"/>
      <w:sz w:val="24"/>
      <w:szCs w:val="24"/>
      <w:u w:color="000000"/>
    </w:rPr>
  </w:style>
  <w:style w:type="numbering" w:customStyle="1" w:styleId="Importovanstyl3">
    <w:name w:val="Importovaný styl 3"/>
    <w:pPr>
      <w:numPr>
        <w:numId w:val="4"/>
      </w:numPr>
    </w:pPr>
  </w:style>
  <w:style w:type="numbering" w:customStyle="1" w:styleId="Importovanstyl4">
    <w:name w:val="Importovaný styl 4"/>
    <w:pPr>
      <w:numPr>
        <w:numId w:val="7"/>
      </w:numPr>
    </w:pPr>
  </w:style>
  <w:style w:type="paragraph" w:styleId="Normlnweb">
    <w:name w:val="Normal (Web)"/>
    <w:basedOn w:val="Normln"/>
    <w:uiPriority w:val="99"/>
    <w:semiHidden/>
    <w:unhideWhenUsed/>
    <w:rsid w:val="004147C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Theme="minorHAnsi" w:cs="Times New Roman"/>
      <w:color w:val="auto"/>
      <w:bdr w:val="none" w:sz="0" w:space="0" w:color="auto"/>
    </w:rPr>
  </w:style>
  <w:style w:type="paragraph" w:customStyle="1" w:styleId="PodpisovePole">
    <w:name w:val="PodpisovePole"/>
    <w:basedOn w:val="Normln"/>
    <w:rsid w:val="00D34514"/>
    <w:pPr>
      <w:widowControl w:val="0"/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jc w:val="center"/>
      <w:textAlignment w:val="baseline"/>
    </w:pPr>
    <w:rPr>
      <w:rFonts w:ascii="Arial" w:eastAsia="Arial" w:hAnsi="Arial" w:cs="Arial"/>
      <w:color w:val="auto"/>
      <w:kern w:val="3"/>
      <w:sz w:val="22"/>
      <w:szCs w:val="22"/>
      <w:bdr w:val="none" w:sz="0" w:space="0" w:color="auto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22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342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Jandova</dc:creator>
  <cp:lastModifiedBy>MST Chudčice</cp:lastModifiedBy>
  <cp:revision>9</cp:revision>
  <cp:lastPrinted>2024-04-25T08:48:00Z</cp:lastPrinted>
  <dcterms:created xsi:type="dcterms:W3CDTF">2024-04-08T10:59:00Z</dcterms:created>
  <dcterms:modified xsi:type="dcterms:W3CDTF">2024-04-26T08:29:00Z</dcterms:modified>
</cp:coreProperties>
</file>