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9A" w14:textId="77777777" w:rsidR="005056E3" w:rsidRDefault="005056E3">
      <w:pPr>
        <w:spacing w:line="276" w:lineRule="auto"/>
        <w:rPr>
          <w:rFonts w:ascii="Arial" w:eastAsia="Arial" w:hAnsi="Arial" w:cs="Arial"/>
          <w:i/>
          <w:color w:val="00B0F0"/>
          <w:sz w:val="20"/>
          <w:szCs w:val="20"/>
        </w:rPr>
      </w:pPr>
    </w:p>
    <w:p w14:paraId="52F7D262" w14:textId="77777777" w:rsidR="00122EAF" w:rsidRPr="0063279B" w:rsidRDefault="008E44C5">
      <w:pPr>
        <w:keepNext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3279B">
        <w:rPr>
          <w:rFonts w:ascii="Arial" w:eastAsia="Arial" w:hAnsi="Arial" w:cs="Arial"/>
          <w:b/>
          <w:sz w:val="24"/>
          <w:szCs w:val="24"/>
        </w:rPr>
        <w:t xml:space="preserve">Obec </w:t>
      </w:r>
      <w:r w:rsidR="00122EAF" w:rsidRPr="0063279B">
        <w:rPr>
          <w:rFonts w:ascii="Arial" w:eastAsia="Arial" w:hAnsi="Arial" w:cs="Arial"/>
          <w:b/>
          <w:sz w:val="24"/>
          <w:szCs w:val="24"/>
        </w:rPr>
        <w:t>Kondrac</w:t>
      </w:r>
    </w:p>
    <w:p w14:paraId="0000009D" w14:textId="3A8C2486" w:rsidR="005056E3" w:rsidRPr="0063279B" w:rsidRDefault="008E44C5">
      <w:pPr>
        <w:keepNext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3279B">
        <w:rPr>
          <w:rFonts w:ascii="Arial" w:eastAsia="Arial" w:hAnsi="Arial" w:cs="Arial"/>
          <w:b/>
          <w:sz w:val="24"/>
          <w:szCs w:val="24"/>
        </w:rPr>
        <w:t xml:space="preserve">Zastupitelstvo obce </w:t>
      </w:r>
      <w:r w:rsidR="00122EAF" w:rsidRPr="0063279B">
        <w:rPr>
          <w:rFonts w:ascii="Arial" w:eastAsia="Arial" w:hAnsi="Arial" w:cs="Arial"/>
          <w:b/>
          <w:sz w:val="24"/>
          <w:szCs w:val="24"/>
        </w:rPr>
        <w:t>Kondrac</w:t>
      </w:r>
    </w:p>
    <w:p w14:paraId="2D61FB8D" w14:textId="77777777" w:rsidR="00122EAF" w:rsidRPr="0063279B" w:rsidRDefault="00122EAF">
      <w:pPr>
        <w:keepNext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E" w14:textId="5868F798" w:rsidR="005056E3" w:rsidRPr="0063279B" w:rsidRDefault="008E44C5">
      <w:pPr>
        <w:keepNext/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3279B">
        <w:rPr>
          <w:rFonts w:ascii="Arial" w:eastAsia="Arial" w:hAnsi="Arial" w:cs="Arial"/>
          <w:b/>
          <w:sz w:val="24"/>
          <w:szCs w:val="24"/>
        </w:rPr>
        <w:t xml:space="preserve">Obecně závazná vyhláška obce </w:t>
      </w:r>
      <w:r w:rsidR="00122EAF" w:rsidRPr="0063279B">
        <w:rPr>
          <w:rFonts w:ascii="Arial" w:eastAsia="Arial" w:hAnsi="Arial" w:cs="Arial"/>
          <w:b/>
          <w:sz w:val="24"/>
          <w:szCs w:val="24"/>
        </w:rPr>
        <w:t>Kondrac</w:t>
      </w:r>
    </w:p>
    <w:p w14:paraId="0000009F" w14:textId="77777777" w:rsidR="005056E3" w:rsidRDefault="008E44C5">
      <w:pPr>
        <w:spacing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stanovení místních koeficientů daně z nemovitých věcí</w:t>
      </w:r>
    </w:p>
    <w:p w14:paraId="000000A0" w14:textId="77777777" w:rsidR="005056E3" w:rsidRDefault="005056E3">
      <w:pPr>
        <w:spacing w:line="276" w:lineRule="auto"/>
        <w:jc w:val="center"/>
        <w:rPr>
          <w:rFonts w:ascii="Arial" w:eastAsia="Arial" w:hAnsi="Arial" w:cs="Arial"/>
        </w:rPr>
      </w:pPr>
    </w:p>
    <w:p w14:paraId="000000A1" w14:textId="275A3EAF" w:rsidR="005056E3" w:rsidRDefault="008E44C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Zastupitelstvo obce </w:t>
      </w:r>
      <w:r w:rsidR="0063279B">
        <w:rPr>
          <w:rFonts w:ascii="Arial" w:eastAsia="Arial" w:hAnsi="Arial" w:cs="Arial"/>
        </w:rPr>
        <w:t>Kondrac</w:t>
      </w:r>
      <w:r>
        <w:rPr>
          <w:rFonts w:ascii="Arial" w:eastAsia="Arial" w:hAnsi="Arial" w:cs="Arial"/>
        </w:rPr>
        <w:t xml:space="preserve"> se na svém zasedání dne </w:t>
      </w:r>
      <w:r w:rsidR="00984825">
        <w:rPr>
          <w:rFonts w:ascii="Arial" w:eastAsia="Arial" w:hAnsi="Arial" w:cs="Arial"/>
        </w:rPr>
        <w:t>10. 9. 2024 usnesením č. 3</w:t>
      </w:r>
      <w:r w:rsidRPr="0063279B"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000000AB" w14:textId="0D3C6F7A" w:rsidR="005056E3" w:rsidRDefault="005056E3">
      <w:pPr>
        <w:tabs>
          <w:tab w:val="left" w:pos="1134"/>
        </w:tabs>
        <w:spacing w:line="276" w:lineRule="auto"/>
        <w:rPr>
          <w:rFonts w:ascii="Arial" w:eastAsia="Arial" w:hAnsi="Arial" w:cs="Arial"/>
        </w:rPr>
      </w:pPr>
    </w:p>
    <w:p w14:paraId="628D4787" w14:textId="77777777" w:rsidR="005A5D07" w:rsidRDefault="005A5D07">
      <w:pPr>
        <w:tabs>
          <w:tab w:val="left" w:pos="1134"/>
        </w:tabs>
        <w:spacing w:line="276" w:lineRule="auto"/>
        <w:rPr>
          <w:rFonts w:ascii="Arial" w:eastAsia="Arial" w:hAnsi="Arial" w:cs="Arial"/>
        </w:rPr>
      </w:pPr>
    </w:p>
    <w:p w14:paraId="000000B6" w14:textId="75434E7B" w:rsidR="005056E3" w:rsidRPr="00122EAF" w:rsidRDefault="005056E3" w:rsidP="00122EAF">
      <w:pPr>
        <w:keepNext/>
        <w:spacing w:line="276" w:lineRule="auto"/>
        <w:rPr>
          <w:rFonts w:ascii="Arial" w:eastAsia="Arial" w:hAnsi="Arial" w:cs="Arial"/>
          <w:b/>
        </w:rPr>
      </w:pPr>
    </w:p>
    <w:p w14:paraId="000000B7" w14:textId="5C4E9535" w:rsidR="005056E3" w:rsidRDefault="008E44C5">
      <w:pPr>
        <w:keepNext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Čl. </w:t>
      </w:r>
      <w:r w:rsidR="00122EAF">
        <w:rPr>
          <w:rFonts w:ascii="Arial" w:eastAsia="Arial" w:hAnsi="Arial" w:cs="Arial"/>
          <w:b/>
        </w:rPr>
        <w:t>1</w:t>
      </w:r>
    </w:p>
    <w:p w14:paraId="000000B8" w14:textId="77777777" w:rsidR="005056E3" w:rsidRDefault="008E44C5">
      <w:pPr>
        <w:keepNext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Místní koeficient pro jednotlivé skupiny nemovitých věcí</w:t>
      </w:r>
    </w:p>
    <w:p w14:paraId="000000C4" w14:textId="616B337D" w:rsidR="005056E3" w:rsidRDefault="008E4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rPr>
          <w:rFonts w:ascii="Arial" w:eastAsia="Arial" w:hAnsi="Arial" w:cs="Arial"/>
          <w:color w:val="000000"/>
        </w:rPr>
      </w:pPr>
      <w:r w:rsidRPr="0063279B">
        <w:rPr>
          <w:rFonts w:ascii="Arial" w:eastAsia="Arial" w:hAnsi="Arial" w:cs="Arial"/>
        </w:rPr>
        <w:t xml:space="preserve">Obec </w:t>
      </w:r>
      <w:r w:rsidR="00122EAF" w:rsidRPr="0063279B">
        <w:rPr>
          <w:rFonts w:ascii="Arial" w:eastAsia="Arial" w:hAnsi="Arial" w:cs="Arial"/>
        </w:rPr>
        <w:t>Kondrac</w:t>
      </w:r>
      <w:r w:rsidRPr="0063279B">
        <w:rPr>
          <w:rFonts w:ascii="Arial" w:eastAsia="Arial" w:hAnsi="Arial" w:cs="Arial"/>
        </w:rPr>
        <w:t xml:space="preserve"> stanovuje </w:t>
      </w:r>
      <w:r>
        <w:rPr>
          <w:rFonts w:ascii="Arial" w:eastAsia="Arial" w:hAnsi="Arial" w:cs="Arial"/>
          <w:color w:val="000000"/>
        </w:rPr>
        <w:t xml:space="preserve">místní koeficient pro jednotlivé skupiny staveb a jednotek dle § 10a odst. 1 zákona o dani z nemovitých věcí, a to v následující výši: </w:t>
      </w:r>
    </w:p>
    <w:p w14:paraId="000000C6" w14:textId="60B068FB" w:rsidR="005056E3" w:rsidRPr="00984825" w:rsidRDefault="008E44C5" w:rsidP="006327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09"/>
        <w:rPr>
          <w:rFonts w:ascii="Arial" w:eastAsia="Arial" w:hAnsi="Arial" w:cs="Arial"/>
        </w:rPr>
      </w:pPr>
      <w:r w:rsidRPr="00984825">
        <w:rPr>
          <w:rFonts w:ascii="Arial" w:eastAsia="Arial" w:hAnsi="Arial" w:cs="Arial"/>
        </w:rPr>
        <w:t>rekreační budovy</w:t>
      </w:r>
      <w:r w:rsidRPr="00984825">
        <w:rPr>
          <w:rFonts w:ascii="Arial" w:eastAsia="Arial" w:hAnsi="Arial" w:cs="Arial"/>
        </w:rPr>
        <w:tab/>
      </w:r>
      <w:r w:rsidRPr="00984825">
        <w:rPr>
          <w:rFonts w:ascii="Arial" w:eastAsia="Arial" w:hAnsi="Arial" w:cs="Arial"/>
        </w:rPr>
        <w:tab/>
      </w:r>
      <w:r w:rsidRPr="00984825">
        <w:rPr>
          <w:rFonts w:ascii="Arial" w:eastAsia="Arial" w:hAnsi="Arial" w:cs="Arial"/>
        </w:rPr>
        <w:tab/>
      </w:r>
      <w:r w:rsidRPr="00984825">
        <w:rPr>
          <w:rFonts w:ascii="Arial" w:eastAsia="Arial" w:hAnsi="Arial" w:cs="Arial"/>
        </w:rPr>
        <w:tab/>
      </w:r>
      <w:r w:rsidRPr="00984825">
        <w:rPr>
          <w:rFonts w:ascii="Arial" w:eastAsia="Arial" w:hAnsi="Arial" w:cs="Arial"/>
        </w:rPr>
        <w:tab/>
      </w:r>
      <w:r w:rsidRPr="00984825">
        <w:rPr>
          <w:rFonts w:ascii="Arial" w:eastAsia="Arial" w:hAnsi="Arial" w:cs="Arial"/>
        </w:rPr>
        <w:tab/>
        <w:t xml:space="preserve">koeficient </w:t>
      </w:r>
      <w:r w:rsidR="00122EAF" w:rsidRPr="00984825">
        <w:rPr>
          <w:rFonts w:ascii="Arial" w:eastAsia="Arial" w:hAnsi="Arial" w:cs="Arial"/>
        </w:rPr>
        <w:t>1,5</w:t>
      </w:r>
    </w:p>
    <w:p w14:paraId="000000D2" w14:textId="7F430A4D" w:rsidR="005056E3" w:rsidRDefault="008E4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Místní koeficient pro jednotlivou skupinu nemovitých věcí se vztahuje na všechny nemovité věci dané skupiny nemovitých věcí na území celé obce.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</w:p>
    <w:p w14:paraId="000000D3" w14:textId="77777777" w:rsidR="005056E3" w:rsidRDefault="008E4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Fonts w:ascii="Arial" w:eastAsia="Arial" w:hAnsi="Arial" w:cs="Arial"/>
          <w:color w:val="000000"/>
          <w:vertAlign w:val="superscript"/>
        </w:rPr>
        <w:footnoteReference w:id="2"/>
      </w:r>
    </w:p>
    <w:p w14:paraId="000000D8" w14:textId="60FDE653" w:rsidR="005056E3" w:rsidRDefault="005056E3">
      <w:pPr>
        <w:tabs>
          <w:tab w:val="left" w:pos="567"/>
        </w:tabs>
        <w:spacing w:line="276" w:lineRule="auto"/>
        <w:rPr>
          <w:rFonts w:ascii="Arial" w:eastAsia="Arial" w:hAnsi="Arial" w:cs="Arial"/>
          <w:i/>
          <w:color w:val="00B0F0"/>
          <w:sz w:val="20"/>
          <w:szCs w:val="20"/>
        </w:rPr>
      </w:pPr>
    </w:p>
    <w:p w14:paraId="0779E7A8" w14:textId="77777777" w:rsidR="005A5D07" w:rsidRDefault="005A5D07">
      <w:pPr>
        <w:tabs>
          <w:tab w:val="left" w:pos="567"/>
        </w:tabs>
        <w:spacing w:line="276" w:lineRule="auto"/>
        <w:rPr>
          <w:rFonts w:ascii="Arial" w:eastAsia="Arial" w:hAnsi="Arial" w:cs="Arial"/>
          <w:i/>
          <w:color w:val="00B0F0"/>
          <w:sz w:val="20"/>
          <w:szCs w:val="20"/>
        </w:rPr>
      </w:pPr>
    </w:p>
    <w:p w14:paraId="16D4D738" w14:textId="77777777" w:rsidR="005A5D07" w:rsidRDefault="005A5D07">
      <w:pPr>
        <w:keepNext/>
        <w:spacing w:line="276" w:lineRule="auto"/>
        <w:jc w:val="center"/>
        <w:rPr>
          <w:rFonts w:ascii="Arial" w:eastAsia="Arial" w:hAnsi="Arial" w:cs="Arial"/>
          <w:b/>
        </w:rPr>
      </w:pPr>
    </w:p>
    <w:p w14:paraId="000000D9" w14:textId="0E8FD783" w:rsidR="005056E3" w:rsidRDefault="008E44C5">
      <w:pPr>
        <w:keepNext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Čl. </w:t>
      </w:r>
      <w:r w:rsidR="005A5D07">
        <w:rPr>
          <w:rFonts w:ascii="Arial" w:eastAsia="Arial" w:hAnsi="Arial" w:cs="Arial"/>
          <w:b/>
        </w:rPr>
        <w:t>2</w:t>
      </w:r>
    </w:p>
    <w:p w14:paraId="000000DA" w14:textId="77777777" w:rsidR="005056E3" w:rsidRDefault="008E44C5">
      <w:pPr>
        <w:keepNext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Zrušovací ustanovení</w:t>
      </w:r>
    </w:p>
    <w:p w14:paraId="000000DB" w14:textId="6194A539" w:rsidR="005056E3" w:rsidRDefault="008E44C5">
      <w:pPr>
        <w:spacing w:line="276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Zrušuje se obecně závazná vyhláška </w:t>
      </w:r>
      <w:r w:rsidRPr="0063279B">
        <w:rPr>
          <w:rFonts w:ascii="Arial" w:eastAsia="Arial" w:hAnsi="Arial" w:cs="Arial"/>
        </w:rPr>
        <w:t xml:space="preserve">obce </w:t>
      </w:r>
      <w:r w:rsidR="0063279B" w:rsidRPr="0063279B">
        <w:rPr>
          <w:rFonts w:ascii="Arial" w:eastAsia="Arial" w:hAnsi="Arial" w:cs="Arial"/>
        </w:rPr>
        <w:t>Kondrac</w:t>
      </w:r>
      <w:r w:rsidRPr="0063279B">
        <w:rPr>
          <w:rFonts w:ascii="Arial" w:eastAsia="Arial" w:hAnsi="Arial" w:cs="Arial"/>
        </w:rPr>
        <w:t xml:space="preserve"> č</w:t>
      </w:r>
      <w:r>
        <w:rPr>
          <w:rFonts w:ascii="Arial" w:eastAsia="Arial" w:hAnsi="Arial" w:cs="Arial"/>
        </w:rPr>
        <w:t xml:space="preserve">. </w:t>
      </w:r>
      <w:r w:rsidR="0063279B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/</w:t>
      </w:r>
      <w:r w:rsidR="0063279B">
        <w:rPr>
          <w:rFonts w:ascii="Arial" w:eastAsia="Arial" w:hAnsi="Arial" w:cs="Arial"/>
        </w:rPr>
        <w:t>2009 o dani z nemovitosti</w:t>
      </w:r>
      <w:r>
        <w:rPr>
          <w:rFonts w:ascii="Arial" w:eastAsia="Arial" w:hAnsi="Arial" w:cs="Arial"/>
        </w:rPr>
        <w:t xml:space="preserve">, ze dne </w:t>
      </w:r>
      <w:r w:rsidR="0063279B">
        <w:rPr>
          <w:rFonts w:ascii="Arial" w:eastAsia="Arial" w:hAnsi="Arial" w:cs="Arial"/>
        </w:rPr>
        <w:t>4.</w:t>
      </w:r>
      <w:r w:rsidR="00984825">
        <w:rPr>
          <w:rFonts w:ascii="Arial" w:eastAsia="Arial" w:hAnsi="Arial" w:cs="Arial"/>
        </w:rPr>
        <w:t xml:space="preserve"> </w:t>
      </w:r>
      <w:r w:rsidR="0063279B">
        <w:rPr>
          <w:rFonts w:ascii="Arial" w:eastAsia="Arial" w:hAnsi="Arial" w:cs="Arial"/>
        </w:rPr>
        <w:t>11.</w:t>
      </w:r>
      <w:r w:rsidR="00984825">
        <w:rPr>
          <w:rFonts w:ascii="Arial" w:eastAsia="Arial" w:hAnsi="Arial" w:cs="Arial"/>
        </w:rPr>
        <w:t xml:space="preserve"> </w:t>
      </w:r>
      <w:r w:rsidR="0063279B">
        <w:rPr>
          <w:rFonts w:ascii="Arial" w:eastAsia="Arial" w:hAnsi="Arial" w:cs="Arial"/>
        </w:rPr>
        <w:t>2009</w:t>
      </w:r>
    </w:p>
    <w:p w14:paraId="000000DC" w14:textId="77777777" w:rsidR="005056E3" w:rsidRDefault="005056E3">
      <w:pPr>
        <w:spacing w:line="276" w:lineRule="auto"/>
        <w:rPr>
          <w:rFonts w:ascii="Arial" w:eastAsia="Arial" w:hAnsi="Arial" w:cs="Arial"/>
        </w:rPr>
      </w:pPr>
    </w:p>
    <w:p w14:paraId="4E27F60D" w14:textId="77777777" w:rsidR="005A5D07" w:rsidRDefault="005A5D07">
      <w:pPr>
        <w:keepNext/>
        <w:spacing w:line="276" w:lineRule="auto"/>
        <w:jc w:val="center"/>
        <w:rPr>
          <w:rFonts w:ascii="Arial" w:eastAsia="Arial" w:hAnsi="Arial" w:cs="Arial"/>
          <w:b/>
        </w:rPr>
      </w:pPr>
    </w:p>
    <w:p w14:paraId="000000DD" w14:textId="0B10593F" w:rsidR="005056E3" w:rsidRDefault="008E44C5">
      <w:pPr>
        <w:keepNext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Čl. </w:t>
      </w:r>
      <w:r w:rsidR="005A5D07">
        <w:rPr>
          <w:rFonts w:ascii="Arial" w:eastAsia="Arial" w:hAnsi="Arial" w:cs="Arial"/>
          <w:b/>
        </w:rPr>
        <w:t>3</w:t>
      </w:r>
    </w:p>
    <w:p w14:paraId="000000DE" w14:textId="77777777" w:rsidR="005056E3" w:rsidRDefault="008E44C5">
      <w:pPr>
        <w:keepNext/>
        <w:spacing w:line="276" w:lineRule="auto"/>
        <w:jc w:val="center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b/>
        </w:rPr>
        <w:t>Účinnost</w:t>
      </w:r>
    </w:p>
    <w:p w14:paraId="000000DF" w14:textId="6AB8C1EA" w:rsidR="005056E3" w:rsidRDefault="008E44C5">
      <w:pPr>
        <w:spacing w:line="276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obecně závazná vyhláška nabývá účinnosti dnem 1. ledna </w:t>
      </w:r>
      <w:r w:rsidR="0063279B">
        <w:rPr>
          <w:rFonts w:ascii="Arial" w:eastAsia="Arial" w:hAnsi="Arial" w:cs="Arial"/>
        </w:rPr>
        <w:t>2025</w:t>
      </w:r>
      <w:r>
        <w:rPr>
          <w:rFonts w:ascii="Arial" w:eastAsia="Arial" w:hAnsi="Arial" w:cs="Arial"/>
        </w:rPr>
        <w:t>.</w:t>
      </w:r>
    </w:p>
    <w:p w14:paraId="360E0F22" w14:textId="77777777" w:rsidR="005056E3" w:rsidRDefault="005056E3">
      <w:pPr>
        <w:spacing w:line="276" w:lineRule="auto"/>
        <w:rPr>
          <w:rFonts w:ascii="Arial" w:eastAsia="Arial" w:hAnsi="Arial" w:cs="Arial"/>
        </w:rPr>
      </w:pPr>
    </w:p>
    <w:p w14:paraId="1161A6B6" w14:textId="77777777" w:rsidR="0023115C" w:rsidRDefault="0023115C">
      <w:pPr>
        <w:spacing w:line="276" w:lineRule="auto"/>
        <w:rPr>
          <w:rFonts w:ascii="Arial" w:eastAsia="Arial" w:hAnsi="Arial" w:cs="Arial"/>
        </w:rPr>
      </w:pPr>
    </w:p>
    <w:p w14:paraId="000000E2" w14:textId="77777777" w:rsidR="0023115C" w:rsidRDefault="0023115C">
      <w:pPr>
        <w:spacing w:line="276" w:lineRule="auto"/>
        <w:rPr>
          <w:rFonts w:ascii="Arial" w:eastAsia="Arial" w:hAnsi="Arial" w:cs="Arial"/>
        </w:rPr>
        <w:sectPr w:rsidR="0023115C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00000E3" w14:textId="624D2775" w:rsidR="005056E3" w:rsidRDefault="005056E3" w:rsidP="0023115C">
      <w:pPr>
        <w:keepNext/>
        <w:spacing w:line="276" w:lineRule="auto"/>
        <w:rPr>
          <w:rFonts w:ascii="Arial" w:eastAsia="Arial" w:hAnsi="Arial" w:cs="Arial"/>
        </w:rPr>
      </w:pPr>
    </w:p>
    <w:p w14:paraId="000000E4" w14:textId="7D561AC1" w:rsidR="005056E3" w:rsidRDefault="005A5D07">
      <w:pPr>
        <w:keepNext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Ing. Jiří Procházka</w:t>
      </w:r>
      <w:r w:rsidR="000346D5">
        <w:rPr>
          <w:rFonts w:ascii="Arial" w:eastAsia="Arial" w:hAnsi="Arial" w:cs="Arial"/>
        </w:rPr>
        <w:t xml:space="preserve"> v. r.</w:t>
      </w:r>
    </w:p>
    <w:p w14:paraId="301502DE" w14:textId="6A454472" w:rsidR="0023115C" w:rsidRDefault="008E44C5">
      <w:pPr>
        <w:keepNext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starosta</w:t>
      </w:r>
      <w:r>
        <w:br w:type="column"/>
      </w:r>
    </w:p>
    <w:p w14:paraId="000000E6" w14:textId="50430FA8" w:rsidR="005056E3" w:rsidRDefault="005A5D07">
      <w:pPr>
        <w:keepNext/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Miroslav Šanda</w:t>
      </w:r>
      <w:r w:rsidR="000346D5">
        <w:rPr>
          <w:rFonts w:ascii="Arial" w:eastAsia="Arial" w:hAnsi="Arial" w:cs="Arial"/>
        </w:rPr>
        <w:t xml:space="preserve"> v. r.</w:t>
      </w:r>
    </w:p>
    <w:p w14:paraId="2B51742A" w14:textId="77777777" w:rsidR="005056E3" w:rsidRDefault="008E44C5">
      <w:pP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místostaros</w:t>
      </w:r>
      <w:r w:rsidR="000346D5">
        <w:rPr>
          <w:rFonts w:ascii="Arial" w:eastAsia="Arial" w:hAnsi="Arial" w:cs="Arial"/>
        </w:rPr>
        <w:t>t</w:t>
      </w:r>
      <w:bookmarkStart w:id="0" w:name="_tyjcwt" w:colFirst="0" w:colLast="0"/>
      <w:bookmarkEnd w:id="0"/>
      <w:r w:rsidR="0023115C">
        <w:rPr>
          <w:rFonts w:ascii="Arial" w:eastAsia="Arial" w:hAnsi="Arial" w:cs="Arial"/>
        </w:rPr>
        <w:t>a</w:t>
      </w:r>
    </w:p>
    <w:p w14:paraId="7A9F4FCD" w14:textId="77777777" w:rsidR="0023115C" w:rsidRDefault="0023115C">
      <w:pPr>
        <w:spacing w:line="276" w:lineRule="auto"/>
        <w:jc w:val="center"/>
        <w:rPr>
          <w:rFonts w:ascii="Arial" w:eastAsia="Arial" w:hAnsi="Arial" w:cs="Arial"/>
        </w:rPr>
      </w:pPr>
    </w:p>
    <w:p w14:paraId="6B049DF3" w14:textId="77777777" w:rsidR="0023115C" w:rsidRDefault="0023115C" w:rsidP="0023115C">
      <w:pPr>
        <w:spacing w:line="276" w:lineRule="auto"/>
        <w:rPr>
          <w:rFonts w:ascii="Arial" w:eastAsia="Arial" w:hAnsi="Arial" w:cs="Arial"/>
        </w:rPr>
        <w:sectPr w:rsidR="0023115C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000000EF" w14:textId="4AA8E1D3" w:rsidR="005056E3" w:rsidRPr="0023115C" w:rsidRDefault="005056E3" w:rsidP="0023115C">
      <w:pPr>
        <w:pStyle w:val="Nadpis2"/>
        <w:rPr>
          <w:b w:val="0"/>
          <w:bCs/>
          <w:i w:val="0"/>
          <w:iCs/>
        </w:rPr>
      </w:pPr>
    </w:p>
    <w:sectPr w:rsidR="005056E3" w:rsidRPr="0023115C" w:rsidSect="0063279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A5BA" w14:textId="77777777" w:rsidR="006308C3" w:rsidRDefault="008E44C5">
      <w:pPr>
        <w:spacing w:after="0"/>
      </w:pPr>
      <w:r>
        <w:separator/>
      </w:r>
    </w:p>
  </w:endnote>
  <w:endnote w:type="continuationSeparator" w:id="0">
    <w:p w14:paraId="45D61933" w14:textId="77777777" w:rsidR="006308C3" w:rsidRDefault="008E44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B" w14:textId="0A6101AA" w:rsidR="005056E3" w:rsidRDefault="008E44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E123A6">
      <w:rPr>
        <w:rFonts w:ascii="Arial" w:eastAsia="Arial" w:hAnsi="Arial" w:cs="Arial"/>
        <w:noProof/>
        <w:color w:val="000000"/>
      </w:rPr>
      <w:t>9</w:t>
    </w:r>
    <w:r>
      <w:rPr>
        <w:rFonts w:ascii="Arial" w:eastAsia="Arial" w:hAnsi="Arial" w:cs="Arial"/>
        <w:color w:val="000000"/>
      </w:rPr>
      <w:fldChar w:fldCharType="end"/>
    </w:r>
  </w:p>
  <w:p w14:paraId="0000016C" w14:textId="77777777" w:rsidR="005056E3" w:rsidRDefault="005056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1" w14:textId="37A3F03C" w:rsidR="005056E3" w:rsidRDefault="008E44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63279B">
      <w:rPr>
        <w:rFonts w:ascii="Arial" w:eastAsia="Arial" w:hAnsi="Arial" w:cs="Arial"/>
        <w:noProof/>
        <w:color w:val="000000"/>
      </w:rPr>
      <w:t>3</w:t>
    </w:r>
    <w:r>
      <w:rPr>
        <w:rFonts w:ascii="Arial" w:eastAsia="Arial" w:hAnsi="Arial" w:cs="Arial"/>
        <w:color w:val="000000"/>
      </w:rPr>
      <w:fldChar w:fldCharType="end"/>
    </w:r>
  </w:p>
  <w:p w14:paraId="00000172" w14:textId="77777777" w:rsidR="005056E3" w:rsidRDefault="005056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4CDB6" w14:textId="77777777" w:rsidR="006308C3" w:rsidRDefault="008E44C5">
      <w:pPr>
        <w:spacing w:after="0"/>
      </w:pPr>
      <w:r>
        <w:separator/>
      </w:r>
    </w:p>
  </w:footnote>
  <w:footnote w:type="continuationSeparator" w:id="0">
    <w:p w14:paraId="28DB9356" w14:textId="77777777" w:rsidR="006308C3" w:rsidRDefault="008E44C5">
      <w:pPr>
        <w:spacing w:after="0"/>
      </w:pPr>
      <w:r>
        <w:continuationSeparator/>
      </w:r>
    </w:p>
  </w:footnote>
  <w:footnote w:id="1">
    <w:p w14:paraId="00000163" w14:textId="77777777" w:rsidR="005056E3" w:rsidRDefault="008E44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12ab odst. 4 zákona o dani z nemovitých věcí.</w:t>
      </w:r>
    </w:p>
  </w:footnote>
  <w:footnote w:id="2">
    <w:p w14:paraId="00000164" w14:textId="77777777" w:rsidR="005056E3" w:rsidRDefault="008E44C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147"/>
    <w:multiLevelType w:val="multilevel"/>
    <w:tmpl w:val="80E436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D1E8B"/>
    <w:multiLevelType w:val="multilevel"/>
    <w:tmpl w:val="BF769750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4C2804"/>
    <w:multiLevelType w:val="multilevel"/>
    <w:tmpl w:val="A510C2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03767"/>
    <w:multiLevelType w:val="multilevel"/>
    <w:tmpl w:val="5394E7B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11E74"/>
    <w:multiLevelType w:val="multilevel"/>
    <w:tmpl w:val="F1BC6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662"/>
    <w:multiLevelType w:val="multilevel"/>
    <w:tmpl w:val="24F8B4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21D48"/>
    <w:multiLevelType w:val="multilevel"/>
    <w:tmpl w:val="31F0385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1713"/>
    <w:multiLevelType w:val="multilevel"/>
    <w:tmpl w:val="B18E12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E2EB9"/>
    <w:multiLevelType w:val="multilevel"/>
    <w:tmpl w:val="36EED9AA"/>
    <w:lvl w:ilvl="0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801F3"/>
    <w:multiLevelType w:val="multilevel"/>
    <w:tmpl w:val="D83CF742"/>
    <w:lvl w:ilvl="0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67A34"/>
    <w:multiLevelType w:val="multilevel"/>
    <w:tmpl w:val="EEB684F0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FA4C72"/>
    <w:multiLevelType w:val="multilevel"/>
    <w:tmpl w:val="FA263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72E22"/>
    <w:multiLevelType w:val="multilevel"/>
    <w:tmpl w:val="FD86A4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E189D"/>
    <w:multiLevelType w:val="multilevel"/>
    <w:tmpl w:val="EA685B28"/>
    <w:lvl w:ilvl="0">
      <w:start w:val="1"/>
      <w:numFmt w:val="decimal"/>
      <w:lvlText w:val="(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CDA0EBD"/>
    <w:multiLevelType w:val="multilevel"/>
    <w:tmpl w:val="16E242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5806834">
    <w:abstractNumId w:val="7"/>
  </w:num>
  <w:num w:numId="2" w16cid:durableId="1864438358">
    <w:abstractNumId w:val="10"/>
  </w:num>
  <w:num w:numId="3" w16cid:durableId="2003964771">
    <w:abstractNumId w:val="3"/>
  </w:num>
  <w:num w:numId="4" w16cid:durableId="561453659">
    <w:abstractNumId w:val="8"/>
  </w:num>
  <w:num w:numId="5" w16cid:durableId="715743328">
    <w:abstractNumId w:val="12"/>
  </w:num>
  <w:num w:numId="6" w16cid:durableId="232740786">
    <w:abstractNumId w:val="11"/>
  </w:num>
  <w:num w:numId="7" w16cid:durableId="1845976953">
    <w:abstractNumId w:val="14"/>
  </w:num>
  <w:num w:numId="8" w16cid:durableId="229267401">
    <w:abstractNumId w:val="5"/>
  </w:num>
  <w:num w:numId="9" w16cid:durableId="245842937">
    <w:abstractNumId w:val="1"/>
  </w:num>
  <w:num w:numId="10" w16cid:durableId="398476789">
    <w:abstractNumId w:val="4"/>
  </w:num>
  <w:num w:numId="11" w16cid:durableId="1934976314">
    <w:abstractNumId w:val="9"/>
  </w:num>
  <w:num w:numId="12" w16cid:durableId="1938560407">
    <w:abstractNumId w:val="2"/>
  </w:num>
  <w:num w:numId="13" w16cid:durableId="352265619">
    <w:abstractNumId w:val="0"/>
  </w:num>
  <w:num w:numId="14" w16cid:durableId="921332280">
    <w:abstractNumId w:val="13"/>
  </w:num>
  <w:num w:numId="15" w16cid:durableId="1119373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E3"/>
    <w:rsid w:val="000346D5"/>
    <w:rsid w:val="00122EAF"/>
    <w:rsid w:val="0023115C"/>
    <w:rsid w:val="005056E3"/>
    <w:rsid w:val="005A5D07"/>
    <w:rsid w:val="006308C3"/>
    <w:rsid w:val="0063279B"/>
    <w:rsid w:val="007E2711"/>
    <w:rsid w:val="008E44C5"/>
    <w:rsid w:val="00984825"/>
    <w:rsid w:val="00AF61A7"/>
    <w:rsid w:val="00E11E4B"/>
    <w:rsid w:val="00E1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783B"/>
  <w15:docId w15:val="{740E250B-82C7-4A83-ACD5-85BA2DD4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 w:line="276" w:lineRule="auto"/>
      <w:jc w:val="left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276" w:lineRule="auto"/>
      <w:outlineLvl w:val="1"/>
    </w:pPr>
    <w:rPr>
      <w:rFonts w:ascii="Arial" w:eastAsia="Arial" w:hAnsi="Arial" w:cs="Arial"/>
      <w:b/>
      <w:i/>
      <w:color w:val="FF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Miroslav Šanda</cp:lastModifiedBy>
  <cp:revision>3</cp:revision>
  <dcterms:created xsi:type="dcterms:W3CDTF">2024-09-11T17:26:00Z</dcterms:created>
  <dcterms:modified xsi:type="dcterms:W3CDTF">2024-09-11T17:38:00Z</dcterms:modified>
</cp:coreProperties>
</file>