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B6005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000000" w:rsidRDefault="009B6005">
      <w:pPr>
        <w:pStyle w:val="Zhlav"/>
        <w:tabs>
          <w:tab w:val="clear" w:pos="4536"/>
          <w:tab w:val="clear" w:pos="9072"/>
        </w:tabs>
      </w:pPr>
    </w:p>
    <w:p w:rsidR="00000000" w:rsidRDefault="009B6005">
      <w:pPr>
        <w:spacing w:line="276" w:lineRule="auto"/>
        <w:jc w:val="center"/>
      </w:pPr>
      <w:r>
        <w:rPr>
          <w:rFonts w:ascii="Arial" w:hAnsi="Arial" w:cs="Arial"/>
          <w:b/>
        </w:rPr>
        <w:t>OBEC LUDSLAVICE</w:t>
      </w:r>
    </w:p>
    <w:p w:rsidR="00000000" w:rsidRDefault="009B6005">
      <w:pPr>
        <w:spacing w:line="276" w:lineRule="auto"/>
        <w:jc w:val="center"/>
      </w:pPr>
      <w:r>
        <w:rPr>
          <w:rFonts w:ascii="Arial" w:hAnsi="Arial" w:cs="Arial"/>
          <w:b/>
        </w:rPr>
        <w:t>Zastupitelstvo obce Ludslavice</w:t>
      </w:r>
    </w:p>
    <w:p w:rsidR="00000000" w:rsidRDefault="009B6005">
      <w:pPr>
        <w:spacing w:line="276" w:lineRule="auto"/>
        <w:jc w:val="center"/>
        <w:rPr>
          <w:rFonts w:ascii="Arial" w:hAnsi="Arial" w:cs="Arial"/>
          <w:b/>
        </w:rPr>
      </w:pPr>
    </w:p>
    <w:p w:rsidR="00000000" w:rsidRDefault="009B6005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 Ludslavice o místním poplatku ze psů</w:t>
      </w:r>
    </w:p>
    <w:p w:rsidR="00000000" w:rsidRDefault="009B6005">
      <w:pPr>
        <w:spacing w:line="276" w:lineRule="auto"/>
        <w:jc w:val="center"/>
        <w:rPr>
          <w:rFonts w:ascii="Arial" w:hAnsi="Arial" w:cs="Arial"/>
          <w:b/>
        </w:rPr>
      </w:pPr>
    </w:p>
    <w:p w:rsidR="00000000" w:rsidRDefault="009B6005">
      <w:p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Ludslavice se na svém zasedání dne </w:t>
      </w:r>
      <w:r>
        <w:rPr>
          <w:rFonts w:ascii="Arial" w:hAnsi="Arial" w:cs="Arial"/>
          <w:b/>
          <w:bCs/>
          <w:sz w:val="22"/>
          <w:szCs w:val="22"/>
        </w:rPr>
        <w:t>8.12. 202</w:t>
      </w:r>
      <w:r w:rsidR="006113BB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č. 2022/02/12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</w:t>
      </w:r>
      <w:r>
        <w:rPr>
          <w:rFonts w:ascii="Arial" w:hAnsi="Arial" w:cs="Arial"/>
          <w:sz w:val="22"/>
          <w:szCs w:val="22"/>
        </w:rPr>
        <w:t xml:space="preserve">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</w:t>
      </w:r>
      <w:r>
        <w:rPr>
          <w:rFonts w:ascii="Arial" w:hAnsi="Arial" w:cs="Arial"/>
          <w:sz w:val="22"/>
          <w:szCs w:val="22"/>
        </w:rPr>
        <w:t xml:space="preserve">hlášku (dále jen „vyhláška“): </w:t>
      </w: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>Čl. 1</w:t>
      </w:r>
    </w:p>
    <w:p w:rsidR="00000000" w:rsidRDefault="009B6005">
      <w:pPr>
        <w:pStyle w:val="Nzvylnk"/>
      </w:pPr>
      <w:r>
        <w:rPr>
          <w:rFonts w:ascii="Arial" w:hAnsi="Arial" w:cs="Arial"/>
        </w:rPr>
        <w:t>Úvodní ustanovení</w:t>
      </w:r>
    </w:p>
    <w:p w:rsidR="00000000" w:rsidRDefault="009B6005">
      <w:pPr>
        <w:numPr>
          <w:ilvl w:val="0"/>
          <w:numId w:val="1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Obec Ludslavice touto vyhláškou zavádí místní poplatek ze psů (dále jen „poplatek“).</w:t>
      </w:r>
    </w:p>
    <w:p w:rsidR="00000000" w:rsidRDefault="009B600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>Čl. 2</w:t>
      </w:r>
    </w:p>
    <w:p w:rsidR="00000000" w:rsidRDefault="009B6005">
      <w:pPr>
        <w:pStyle w:val="Nzvylnk"/>
      </w:pPr>
      <w:r>
        <w:rPr>
          <w:rFonts w:ascii="Arial" w:hAnsi="Arial" w:cs="Arial"/>
        </w:rPr>
        <w:t>Poplatník a předmět poplatku</w:t>
      </w:r>
    </w:p>
    <w:p w:rsidR="00000000" w:rsidRDefault="009B6005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 platí držitel psa. Držitelem j</w:t>
      </w:r>
      <w:r>
        <w:rPr>
          <w:rFonts w:ascii="Arial" w:hAnsi="Arial" w:cs="Arial"/>
          <w:sz w:val="22"/>
          <w:szCs w:val="22"/>
        </w:rPr>
        <w:t>e pro účely tohoto poplatku osoba, která je přihlášená nebo má sídlo na území České republiky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00000" w:rsidRDefault="009B6005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ze psů se platí ze psů starších 3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>Čl. 3</w:t>
      </w:r>
    </w:p>
    <w:p w:rsidR="00000000" w:rsidRDefault="009B6005">
      <w:pPr>
        <w:pStyle w:val="Nzvylnk"/>
      </w:pPr>
      <w:r>
        <w:rPr>
          <w:rFonts w:ascii="Arial" w:hAnsi="Arial" w:cs="Arial"/>
        </w:rPr>
        <w:t>Ohlašovací povinnost</w:t>
      </w:r>
    </w:p>
    <w:p w:rsidR="00000000" w:rsidRDefault="009B6005">
      <w:pPr>
        <w:numPr>
          <w:ilvl w:val="0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Poplatník je povinen ohlásit správci poplatku vznik své po</w:t>
      </w:r>
      <w:r>
        <w:rPr>
          <w:rFonts w:ascii="Arial" w:hAnsi="Arial" w:cs="Arial"/>
          <w:sz w:val="22"/>
          <w:szCs w:val="22"/>
        </w:rPr>
        <w:t>platkové povinnosti do 15 dnů ode dne, kdy se pes stal starším tří měsíců, nebo ode dne, kdy nabyl psa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lhůtě 15 dnů je povinen ohlásit také zánik své poplatkové povinnosti (např. úhyn psa, jeho ztrátu, darování nebo prodej).</w:t>
      </w:r>
    </w:p>
    <w:p w:rsidR="00000000" w:rsidRDefault="009B6005">
      <w:pPr>
        <w:numPr>
          <w:ilvl w:val="0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Povinno</w:t>
      </w:r>
      <w:r>
        <w:rPr>
          <w:rFonts w:ascii="Arial" w:hAnsi="Arial" w:cs="Arial"/>
          <w:sz w:val="22"/>
          <w:szCs w:val="22"/>
        </w:rPr>
        <w:t>st ohlásit držení psa má i osoba, která je od poplatku osvobozena</w:t>
      </w:r>
      <w:r>
        <w:rPr>
          <w:rFonts w:ascii="Arial" w:hAnsi="Arial" w:cs="Arial"/>
          <w:i/>
          <w:sz w:val="22"/>
          <w:szCs w:val="22"/>
        </w:rPr>
        <w:t>.</w:t>
      </w:r>
    </w:p>
    <w:p w:rsidR="00000000" w:rsidRDefault="009B6005">
      <w:pPr>
        <w:numPr>
          <w:ilvl w:val="0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B6005">
      <w:pPr>
        <w:numPr>
          <w:ilvl w:val="1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</w:t>
      </w:r>
      <w:r>
        <w:rPr>
          <w:rFonts w:ascii="Arial" w:hAnsi="Arial" w:cs="Arial"/>
          <w:sz w:val="22"/>
          <w:szCs w:val="22"/>
        </w:rPr>
        <w:t>učování; právnická osoba uvede též osoby, které jsou jejím jménem oprávněny jednat v poplatkových věcech,</w:t>
      </w:r>
    </w:p>
    <w:p w:rsidR="00000000" w:rsidRDefault="009B6005">
      <w:pPr>
        <w:numPr>
          <w:ilvl w:val="1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</w:t>
      </w:r>
      <w:r>
        <w:rPr>
          <w:rFonts w:ascii="Arial" w:hAnsi="Arial" w:cs="Arial"/>
          <w:sz w:val="22"/>
          <w:szCs w:val="22"/>
        </w:rPr>
        <w:t>ností, v případě, že předmět poplatku souvisí s podnikatelskou činností poplatníka,</w:t>
      </w:r>
    </w:p>
    <w:p w:rsidR="00000000" w:rsidRDefault="009B6005">
      <w:pPr>
        <w:numPr>
          <w:ilvl w:val="1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:rsidR="00000000" w:rsidRDefault="009B600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</w:t>
      </w:r>
      <w:r>
        <w:rPr>
          <w:rFonts w:ascii="Arial" w:hAnsi="Arial" w:cs="Arial"/>
          <w:sz w:val="22"/>
          <w:szCs w:val="22"/>
        </w:rPr>
        <w:t>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00000" w:rsidRDefault="009B6005">
      <w:pPr>
        <w:numPr>
          <w:ilvl w:val="0"/>
          <w:numId w:val="2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</w:t>
      </w:r>
      <w:r>
        <w:rPr>
          <w:rFonts w:ascii="Arial" w:hAnsi="Arial" w:cs="Arial"/>
          <w:sz w:val="22"/>
          <w:szCs w:val="22"/>
        </w:rPr>
        <w:t>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>Čl. 4</w:t>
      </w:r>
    </w:p>
    <w:p w:rsidR="00000000" w:rsidRDefault="009B6005">
      <w:pPr>
        <w:pStyle w:val="Nzvylnk"/>
      </w:pPr>
      <w:r>
        <w:rPr>
          <w:rFonts w:ascii="Arial" w:hAnsi="Arial" w:cs="Arial"/>
        </w:rPr>
        <w:t>Sazba poplatku</w:t>
      </w:r>
    </w:p>
    <w:p w:rsidR="00000000" w:rsidRDefault="009B6005">
      <w:pPr>
        <w:spacing w:line="288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:rsidR="00000000" w:rsidRDefault="009B6005">
      <w:pPr>
        <w:numPr>
          <w:ilvl w:val="1"/>
          <w:numId w:val="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  <w:t>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.......................................100 Kč,</w:t>
      </w:r>
    </w:p>
    <w:p w:rsidR="00000000" w:rsidRDefault="009B6005">
      <w:pPr>
        <w:numPr>
          <w:ilvl w:val="1"/>
          <w:numId w:val="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za druhého a každého dalšího psa téhož držitele .........................................150 Kč.</w:t>
      </w: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 xml:space="preserve">Čl. 5 </w:t>
      </w:r>
    </w:p>
    <w:p w:rsidR="00000000" w:rsidRDefault="009B6005">
      <w:pPr>
        <w:pStyle w:val="Nzvylnk"/>
      </w:pPr>
      <w:r>
        <w:rPr>
          <w:rFonts w:ascii="Arial" w:hAnsi="Arial" w:cs="Arial"/>
        </w:rPr>
        <w:t xml:space="preserve">Splatnost poplatku </w:t>
      </w:r>
    </w:p>
    <w:p w:rsidR="00000000" w:rsidRDefault="009B6005">
      <w:pPr>
        <w:numPr>
          <w:ilvl w:val="0"/>
          <w:numId w:val="7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Poplatek je splatný nejpozději do 31. března příslušného kalendářního roku.</w:t>
      </w:r>
    </w:p>
    <w:p w:rsidR="00000000" w:rsidRDefault="009B6005">
      <w:pPr>
        <w:numPr>
          <w:ilvl w:val="0"/>
          <w:numId w:val="7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Vznikne-l</w:t>
      </w:r>
      <w:r>
        <w:rPr>
          <w:rFonts w:ascii="Arial" w:hAnsi="Arial" w:cs="Arial"/>
          <w:sz w:val="22"/>
          <w:szCs w:val="22"/>
        </w:rPr>
        <w:t>i poplatková povinnost po datu splatnosti uvedeném v odstavci 1, je poplatek splatný nejpozději do 15. dne měsíce, který následuje po měsíci, ve kterém poplatková povinnost vznikla.</w:t>
      </w: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>Čl. 6</w:t>
      </w:r>
    </w:p>
    <w:p w:rsidR="00000000" w:rsidRDefault="009B6005">
      <w:pPr>
        <w:pStyle w:val="Nzvylnk"/>
      </w:pPr>
      <w:r>
        <w:rPr>
          <w:rFonts w:ascii="Arial" w:hAnsi="Arial" w:cs="Arial"/>
        </w:rPr>
        <w:t xml:space="preserve">Osvobození </w:t>
      </w:r>
    </w:p>
    <w:p w:rsidR="00000000" w:rsidRDefault="009B6005">
      <w:pPr>
        <w:numPr>
          <w:ilvl w:val="0"/>
          <w:numId w:val="3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Od poplatku ze psů je osvobozen držitel psa, kterým je o</w:t>
      </w:r>
      <w:r>
        <w:rPr>
          <w:rFonts w:ascii="Arial" w:hAnsi="Arial" w:cs="Arial"/>
          <w:sz w:val="22"/>
          <w:szCs w:val="22"/>
        </w:rPr>
        <w:t>soba nevidomá, osoba, která je považována za závislou na pomoci jiné fyzické osoby podle zákona upravujícího sociální služby, osoba, která je držitelem průkazu ZTP nebo ZTP/P, osoba provádějící výcvik psů určených k doprovodu těchto osob, osoba provozující</w:t>
      </w:r>
      <w:r>
        <w:rPr>
          <w:rFonts w:ascii="Arial" w:hAnsi="Arial" w:cs="Arial"/>
          <w:sz w:val="22"/>
          <w:szCs w:val="22"/>
        </w:rPr>
        <w:t xml:space="preserve"> útulek pro zvířata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. </w:t>
      </w:r>
    </w:p>
    <w:p w:rsidR="00000000" w:rsidRDefault="009B600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00000" w:rsidRDefault="009B6005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</w:t>
      </w:r>
      <w:r>
        <w:rPr>
          <w:rFonts w:ascii="Arial" w:hAnsi="Arial" w:cs="Arial"/>
          <w:sz w:val="22"/>
          <w:szCs w:val="22"/>
        </w:rPr>
        <w:t>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>Čl. 7</w:t>
      </w:r>
    </w:p>
    <w:p w:rsidR="00000000" w:rsidRDefault="009B6005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000000" w:rsidRDefault="009B600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00000" w:rsidRDefault="009B600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</w:t>
      </w:r>
      <w:r>
        <w:rPr>
          <w:rFonts w:ascii="Arial" w:hAnsi="Arial" w:cs="Arial"/>
          <w:sz w:val="22"/>
          <w:szCs w:val="22"/>
        </w:rPr>
        <w:t>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>Čl. 8</w:t>
      </w:r>
    </w:p>
    <w:p w:rsidR="00000000" w:rsidRDefault="009B6005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000000" w:rsidRDefault="009B6005">
      <w:pPr>
        <w:numPr>
          <w:ilvl w:val="0"/>
          <w:numId w:val="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>a nenabyl plné svépr</w:t>
      </w:r>
      <w:r>
        <w:rPr>
          <w:rFonts w:ascii="Arial" w:hAnsi="Arial" w:cs="Arial"/>
          <w:sz w:val="22"/>
          <w:szCs w:val="22"/>
        </w:rPr>
        <w:t xml:space="preserve">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</w:t>
      </w:r>
      <w:r>
        <w:rPr>
          <w:rFonts w:ascii="Arial" w:hAnsi="Arial" w:cs="Arial"/>
          <w:sz w:val="22"/>
          <w:szCs w:val="22"/>
        </w:rPr>
        <w:t>ocesní postavení jako poplatník.</w:t>
      </w:r>
    </w:p>
    <w:p w:rsidR="00000000" w:rsidRDefault="009B6005">
      <w:pPr>
        <w:numPr>
          <w:ilvl w:val="0"/>
          <w:numId w:val="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000000" w:rsidRDefault="009B6005">
      <w:pPr>
        <w:numPr>
          <w:ilvl w:val="0"/>
          <w:numId w:val="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>Čl. 9</w:t>
      </w:r>
    </w:p>
    <w:p w:rsidR="00000000" w:rsidRDefault="009B6005">
      <w:pPr>
        <w:pStyle w:val="Nzvylnk"/>
        <w:tabs>
          <w:tab w:val="left" w:pos="3015"/>
          <w:tab w:val="center" w:pos="4536"/>
        </w:tabs>
        <w:jc w:val="left"/>
      </w:pPr>
      <w:r>
        <w:rPr>
          <w:rFonts w:ascii="Arial" w:hAnsi="Arial" w:cs="Arial"/>
        </w:rPr>
        <w:tab/>
        <w:t xml:space="preserve">    Přechodné ustanovení</w:t>
      </w:r>
    </w:p>
    <w:p w:rsidR="00000000" w:rsidRDefault="009B6005">
      <w:pPr>
        <w:spacing w:before="12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000000" w:rsidRDefault="009B6005">
      <w:pPr>
        <w:pStyle w:val="slalnk"/>
        <w:spacing w:before="480"/>
        <w:ind w:left="567"/>
        <w:jc w:val="left"/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>Čl. 10</w:t>
      </w:r>
    </w:p>
    <w:p w:rsidR="00000000" w:rsidRDefault="009B6005">
      <w:pPr>
        <w:pStyle w:val="Nzvylnk"/>
        <w:tabs>
          <w:tab w:val="left" w:pos="3015"/>
          <w:tab w:val="center" w:pos="4536"/>
        </w:tabs>
        <w:ind w:left="284"/>
        <w:jc w:val="left"/>
      </w:pPr>
      <w:r>
        <w:rPr>
          <w:rFonts w:ascii="Arial" w:hAnsi="Arial" w:cs="Arial"/>
        </w:rPr>
        <w:tab/>
        <w:t xml:space="preserve">      Zrušovací ustanovení</w:t>
      </w:r>
    </w:p>
    <w:p w:rsidR="00000000" w:rsidRDefault="009B6005">
      <w:pPr>
        <w:spacing w:before="120" w:line="288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Zrušuje se obecně závazná vyhláška obce Luds</w:t>
      </w:r>
      <w:r>
        <w:rPr>
          <w:rFonts w:ascii="Arial" w:hAnsi="Arial" w:cs="Arial"/>
          <w:sz w:val="22"/>
          <w:szCs w:val="22"/>
        </w:rPr>
        <w:t>lavice č. 4/2021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6. 12. 2021.</w:t>
      </w:r>
    </w:p>
    <w:p w:rsidR="00000000" w:rsidRDefault="009B6005">
      <w:pPr>
        <w:pStyle w:val="slalnk"/>
        <w:spacing w:before="480"/>
        <w:rPr>
          <w:rFonts w:ascii="Arial" w:hAnsi="Arial" w:cs="Arial"/>
        </w:rPr>
      </w:pPr>
    </w:p>
    <w:p w:rsidR="00000000" w:rsidRDefault="009B6005">
      <w:pPr>
        <w:pStyle w:val="slalnk"/>
        <w:spacing w:before="480"/>
      </w:pPr>
      <w:r>
        <w:rPr>
          <w:rFonts w:ascii="Arial" w:hAnsi="Arial" w:cs="Arial"/>
        </w:rPr>
        <w:t>Čl. 11</w:t>
      </w:r>
    </w:p>
    <w:p w:rsidR="00000000" w:rsidRDefault="009B6005">
      <w:pPr>
        <w:pStyle w:val="Nzvylnk"/>
      </w:pPr>
      <w:r>
        <w:rPr>
          <w:rFonts w:ascii="Arial" w:hAnsi="Arial" w:cs="Arial"/>
        </w:rPr>
        <w:t>Účinnost</w:t>
      </w:r>
    </w:p>
    <w:p w:rsidR="00000000" w:rsidRDefault="009B6005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Tato vyhláška nabývá účinnosti dnem 1. 1. 2023.</w:t>
      </w:r>
    </w:p>
    <w:p w:rsidR="00000000" w:rsidRDefault="009B600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00000" w:rsidRDefault="009B60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00000" w:rsidRDefault="009B60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00000" w:rsidRDefault="009B600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00000" w:rsidRDefault="009B6005">
      <w:pPr>
        <w:pStyle w:val="Zkladntext"/>
        <w:tabs>
          <w:tab w:val="left" w:pos="720"/>
          <w:tab w:val="left" w:pos="6120"/>
        </w:tabs>
        <w:spacing w:after="0" w:line="288" w:lineRule="auto"/>
      </w:pPr>
      <w:r>
        <w:rPr>
          <w:rFonts w:ascii="Arial" w:hAnsi="Arial" w:cs="Arial"/>
          <w:i/>
          <w:sz w:val="22"/>
          <w:szCs w:val="22"/>
        </w:rPr>
        <w:tab/>
      </w:r>
    </w:p>
    <w:p w:rsidR="00000000" w:rsidRDefault="009B6005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Ing. Zuzana Kozáčková, MBA, v. r.</w:t>
      </w:r>
      <w:r>
        <w:rPr>
          <w:rFonts w:ascii="Arial" w:hAnsi="Arial" w:cs="Arial"/>
          <w:sz w:val="22"/>
          <w:szCs w:val="22"/>
        </w:rPr>
        <w:tab/>
        <w:t xml:space="preserve">  Lukáš Rafaja v. r.</w:t>
      </w:r>
    </w:p>
    <w:p w:rsidR="00000000" w:rsidRDefault="009B6005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ab/>
        <w:t xml:space="preserve">        místostarostka</w:t>
      </w:r>
      <w:r>
        <w:rPr>
          <w:rFonts w:ascii="Arial" w:hAnsi="Arial" w:cs="Arial"/>
          <w:sz w:val="22"/>
          <w:szCs w:val="22"/>
        </w:rPr>
        <w:tab/>
        <w:t xml:space="preserve">     starosta</w:t>
      </w:r>
    </w:p>
    <w:p w:rsidR="00000000" w:rsidRDefault="009B600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91489" w:rsidRDefault="0009148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091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005" w:rsidRDefault="009B6005">
      <w:r>
        <w:separator/>
      </w:r>
    </w:p>
  </w:endnote>
  <w:endnote w:type="continuationSeparator" w:id="0">
    <w:p w:rsidR="009B6005" w:rsidRDefault="009B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60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60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60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005" w:rsidRDefault="009B6005">
      <w:r>
        <w:separator/>
      </w:r>
    </w:p>
  </w:footnote>
  <w:footnote w:type="continuationSeparator" w:id="0">
    <w:p w:rsidR="009B6005" w:rsidRDefault="009B6005">
      <w:r>
        <w:continuationSeparator/>
      </w:r>
    </w:p>
  </w:footnote>
  <w:footnote w:id="1">
    <w:p w:rsidR="00000000" w:rsidRDefault="009B6005">
      <w:pPr>
        <w:pStyle w:val="Textpoznpodarou"/>
        <w:jc w:val="both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</w:t>
      </w:r>
      <w:r>
        <w:rPr>
          <w:rFonts w:ascii="Arial" w:hAnsi="Arial" w:cs="Arial"/>
          <w:sz w:val="18"/>
          <w:szCs w:val="18"/>
        </w:rPr>
        <w:t xml:space="preserve"> 1 zákona o místních poplatcích</w:t>
      </w:r>
    </w:p>
  </w:footnote>
  <w:footnote w:id="2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2 odst. 1 zákona o místních poplatcích</w:t>
      </w:r>
    </w:p>
  </w:footnote>
  <w:footnote w:id="3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4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6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2 odst. 2 zákona o místních poplatcích</w:t>
      </w:r>
    </w:p>
  </w:footnote>
  <w:footnote w:id="8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9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0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1">
    <w:p w:rsidR="00000000" w:rsidRDefault="009B6005">
      <w:pPr>
        <w:pStyle w:val="Textpoznpodarou"/>
      </w:pPr>
      <w:r>
        <w:rPr>
          <w:rStyle w:val="FootnoteCharacters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60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60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14875">
    <w:pPr>
      <w:pStyle w:val="Zhlav"/>
    </w:pPr>
    <w:r>
      <w:rPr>
        <w:noProof/>
      </w:rPr>
      <w:drawing>
        <wp:inline distT="0" distB="0" distL="0" distR="0">
          <wp:extent cx="5752465" cy="1360805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360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B7"/>
    <w:rsid w:val="00014875"/>
    <w:rsid w:val="00091489"/>
    <w:rsid w:val="005F668A"/>
    <w:rsid w:val="006113BB"/>
    <w:rsid w:val="009B6005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437C09-8748-4D1A-9BDC-58A41599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basedOn w:val="DefaultParagraphFont"/>
  </w:style>
  <w:style w:type="character" w:customStyle="1" w:styleId="ZpatChar">
    <w:name w:val="Zápatí Char"/>
    <w:rPr>
      <w:sz w:val="24"/>
      <w:szCs w:val="24"/>
    </w:rPr>
  </w:style>
  <w:style w:type="character" w:customStyle="1" w:styleId="ListLabel1">
    <w:name w:val="ListLabel 1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3">
    <w:name w:val="ListLabel 3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4">
    <w:name w:val="ListLabel 4"/>
    <w:rPr>
      <w:rFonts w:ascii="Arial" w:hAnsi="Arial" w:cs="Arial"/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5">
    <w:name w:val="ListLabel 5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6">
    <w:name w:val="ListLabel 6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7">
    <w:name w:val="ListLabel 7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8">
    <w:name w:val="ListLabel 8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9">
    <w:name w:val="ListLabel 9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10">
    <w:name w:val="ListLabel 1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11">
    <w:name w:val="ListLabel 11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12">
    <w:name w:val="ListLabel 12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13">
    <w:name w:val="ListLabel 13"/>
    <w:rPr>
      <w:b w:val="0"/>
      <w:i w:val="0"/>
      <w:strike w:val="0"/>
      <w:dstrike w:val="0"/>
      <w:color w:val="000000"/>
      <w:position w:val="0"/>
      <w:sz w:val="20"/>
      <w:u w:val="none"/>
      <w:effect w:val="none"/>
      <w:vertAlign w:val="baseline"/>
    </w:rPr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pPr>
      <w:suppressLineNumbers/>
    </w:pPr>
    <w:rPr>
      <w:lang/>
    </w:rPr>
  </w:style>
  <w:style w:type="paragraph" w:customStyle="1" w:styleId="HeaderandFooter">
    <w:name w:val="Header and Footer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8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customStyle="1" w:styleId="BalloonText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annotationtext">
    <w:name w:val="annotation text"/>
    <w:basedOn w:val="Normln"/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Hospodarka</cp:lastModifiedBy>
  <cp:revision>2</cp:revision>
  <cp:lastPrinted>2019-09-23T06:46:00Z</cp:lastPrinted>
  <dcterms:created xsi:type="dcterms:W3CDTF">2023-05-03T09:53:00Z</dcterms:created>
  <dcterms:modified xsi:type="dcterms:W3CDTF">2023-05-03T09:53:00Z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