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Ostrá</w:t>
      </w:r>
    </w:p>
    <w:p>
      <w:pPr>
        <w:pStyle w:val="Standard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Ostrá</w:t>
      </w:r>
    </w:p>
    <w:p>
      <w:pPr>
        <w:pStyle w:val="Standard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</w:t>
      </w:r>
    </w:p>
    <w:p>
      <w:pPr>
        <w:pStyle w:val="NormlnIMP"/>
        <w:spacing w:lineRule="auto" w:line="240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o stanovení obecního systému odpadového hospodářství</w:t>
      </w:r>
    </w:p>
    <w:p>
      <w:pPr>
        <w:pStyle w:val="Standard"/>
        <w:jc w:val="both"/>
        <w:rPr>
          <w:rFonts w:ascii="Arial" w:hAnsi="Arial" w:cs="Arial"/>
          <w:b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</w:r>
    </w:p>
    <w:p>
      <w:pPr>
        <w:pStyle w:val="Zkladntextodsazen21"/>
        <w:ind w:left="0" w:hanging="0"/>
        <w:rPr>
          <w:highlight w:val="none"/>
          <w:shd w:fill="auto" w:val="clear"/>
        </w:rPr>
      </w:pPr>
      <w:r>
        <w:rPr>
          <w:rFonts w:cs="Arial" w:ascii="Arial" w:hAnsi="Arial"/>
          <w:sz w:val="22"/>
          <w:szCs w:val="22"/>
          <w:shd w:fill="auto" w:val="clear"/>
        </w:rPr>
        <w:t xml:space="preserve">Zastupitelstvo obce Ostrá se na svém zasedání dne </w:t>
      </w:r>
      <w:r>
        <w:rPr>
          <w:rFonts w:cs="Arial" w:ascii="Arial" w:hAnsi="Arial"/>
          <w:sz w:val="22"/>
          <w:szCs w:val="22"/>
          <w:shd w:fill="auto" w:val="clear"/>
        </w:rPr>
        <w:t>10</w:t>
      </w:r>
      <w:r>
        <w:rPr>
          <w:rFonts w:cs="Arial" w:ascii="Arial" w:hAnsi="Arial"/>
          <w:sz w:val="22"/>
          <w:szCs w:val="22"/>
          <w:shd w:fill="auto" w:val="clear"/>
        </w:rPr>
        <w:t xml:space="preserve">.12. 2025 usnesením č. </w:t>
      </w:r>
      <w:r>
        <w:rPr>
          <w:rFonts w:cs="Arial" w:ascii="Arial" w:hAnsi="Arial"/>
          <w:sz w:val="22"/>
          <w:szCs w:val="22"/>
          <w:shd w:fill="auto" w:val="clear"/>
        </w:rPr>
        <w:t>6</w:t>
      </w:r>
      <w:r>
        <w:rPr>
          <w:rFonts w:cs="Arial" w:ascii="Arial" w:hAnsi="Arial"/>
          <w:sz w:val="22"/>
          <w:szCs w:val="22"/>
          <w:shd w:fill="auto" w:val="clear"/>
        </w:rPr>
        <w:t>/</w:t>
      </w:r>
      <w:r>
        <w:rPr>
          <w:rFonts w:cs="Arial" w:ascii="Arial" w:hAnsi="Arial"/>
          <w:sz w:val="22"/>
          <w:szCs w:val="22"/>
          <w:shd w:fill="auto" w:val="clear"/>
        </w:rPr>
        <w:t>38</w:t>
      </w:r>
      <w:r>
        <w:rPr>
          <w:rFonts w:cs="Arial" w:ascii="Arial" w:hAnsi="Arial"/>
          <w:sz w:val="22"/>
          <w:szCs w:val="22"/>
          <w:shd w:fill="auto" w:val="clear"/>
        </w:rPr>
        <w:t>/25</w:t>
      </w:r>
      <w:r>
        <w:rPr>
          <w:rFonts w:cs="Arial" w:ascii="Arial" w:hAnsi="Arial"/>
          <w:sz w:val="22"/>
          <w:szCs w:val="22"/>
          <w:shd w:fill="auto" w:val="clear"/>
        </w:rPr>
        <w:t xml:space="preserve"> usneslo vydat na základě § 59 odst. 4 zákona č. 541/2020 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Standard"/>
        <w:jc w:val="center"/>
        <w:rPr>
          <w:rFonts w:ascii="Arial" w:hAnsi="Arial" w:cs="Arial"/>
          <w:b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sz w:val="22"/>
          <w:szCs w:val="22"/>
          <w:shd w:fill="auto" w:val="clear"/>
        </w:rPr>
      </w:r>
    </w:p>
    <w:p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Standard"/>
        <w:numPr>
          <w:ilvl w:val="0"/>
          <w:numId w:val="46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Ostrá.</w:t>
      </w:r>
    </w:p>
    <w:p>
      <w:pPr>
        <w:pStyle w:val="Standard"/>
        <w:tabs>
          <w:tab w:val="clear" w:pos="708"/>
          <w:tab w:val="left" w:pos="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47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Každý je povinen při své činnosti předcházet vzniku odpadu, omezovat jeho množství a nebezpečné vlastnosti.</w:t>
      </w:r>
    </w:p>
    <w:p>
      <w:pPr>
        <w:pStyle w:val="Standard"/>
        <w:tabs>
          <w:tab w:val="clear" w:pos="708"/>
          <w:tab w:val="left" w:pos="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48"/>
        </w:numPr>
        <w:tabs>
          <w:tab w:val="clear" w:pos="708"/>
          <w:tab w:val="left" w:pos="-142" w:leader="none"/>
        </w:tabs>
        <w:ind w:left="0" w:hanging="426"/>
        <w:jc w:val="both"/>
        <w:rPr/>
      </w:pPr>
      <w:r>
        <w:rPr>
          <w:rFonts w:eastAsia="Arial"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49"/>
        </w:numPr>
        <w:tabs>
          <w:tab w:val="clear" w:pos="708"/>
          <w:tab w:val="left" w:pos="-142" w:leader="none"/>
        </w:tabs>
        <w:ind w:lef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Standard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50"/>
        </w:numPr>
        <w:tabs>
          <w:tab w:val="clear" w:pos="708"/>
          <w:tab w:val="left" w:pos="-142" w:leader="none"/>
        </w:tabs>
        <w:ind w:lef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Standard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Oddělené soustřeďování komunálního odpadu</w:t>
      </w:r>
    </w:p>
    <w:p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ListParagraph"/>
        <w:numPr>
          <w:ilvl w:val="0"/>
          <w:numId w:val="52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 rostlinného původu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53"/>
        </w:numPr>
        <w:tabs>
          <w:tab w:val="clear" w:pos="708"/>
          <w:tab w:val="left" w:pos="1221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4"/>
        </w:numPr>
        <w:tabs>
          <w:tab w:val="clear" w:pos="708"/>
          <w:tab w:val="left" w:pos="1221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Plasty,</w:t>
      </w:r>
    </w:p>
    <w:p>
      <w:pPr>
        <w:pStyle w:val="ListParagraph"/>
        <w:numPr>
          <w:ilvl w:val="0"/>
          <w:numId w:val="5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Standard"/>
        <w:numPr>
          <w:ilvl w:val="0"/>
          <w:numId w:val="57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Standard"/>
        <w:numPr>
          <w:ilvl w:val="0"/>
          <w:numId w:val="58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Standard"/>
        <w:numPr>
          <w:ilvl w:val="0"/>
          <w:numId w:val="59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Standard"/>
        <w:numPr>
          <w:ilvl w:val="0"/>
          <w:numId w:val="60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Nápojové kartony,</w:t>
      </w:r>
    </w:p>
    <w:p>
      <w:pPr>
        <w:pStyle w:val="Standard"/>
        <w:numPr>
          <w:ilvl w:val="0"/>
          <w:numId w:val="61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</w:t>
      </w:r>
    </w:p>
    <w:p>
      <w:pPr>
        <w:pStyle w:val="Standard"/>
        <w:numPr>
          <w:ilvl w:val="0"/>
          <w:numId w:val="62"/>
        </w:numPr>
        <w:spacing w:before="0" w:after="240"/>
        <w:ind w:left="782" w:hanging="357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Standard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Textbodyindent"/>
        <w:numPr>
          <w:ilvl w:val="0"/>
          <w:numId w:val="63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h), i) a j).</w:t>
      </w:r>
    </w:p>
    <w:p>
      <w:pPr>
        <w:pStyle w:val="Textbodyindent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indent"/>
        <w:numPr>
          <w:ilvl w:val="0"/>
          <w:numId w:val="64"/>
        </w:numPr>
        <w:rPr/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nábytek…</w:t>
      </w:r>
      <w:r>
        <w:rPr>
          <w:rFonts w:cs="Arial" w:ascii="Arial" w:hAnsi="Arial"/>
          <w:sz w:val="22"/>
          <w:szCs w:val="22"/>
        </w:rPr>
        <w:t>).</w:t>
      </w:r>
    </w:p>
    <w:p>
      <w:pPr>
        <w:pStyle w:val="Textbodyindent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Soustřeďování papíru, plastů, skla, kovů, biologického odpadu, jedlých olejů a tuků, nápojových kartonů</w:t>
      </w:r>
    </w:p>
    <w:p>
      <w:pPr>
        <w:pStyle w:val="Standard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Standard"/>
        <w:numPr>
          <w:ilvl w:val="0"/>
          <w:numId w:val="65"/>
        </w:numPr>
        <w:tabs>
          <w:tab w:val="clear" w:pos="708"/>
          <w:tab w:val="left" w:pos="180" w:leader="none"/>
          <w:tab w:val="left" w:pos="56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nápojové kartony,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sběrné nádoby a kontejnery.</w:t>
      </w:r>
    </w:p>
    <w:p>
      <w:pPr>
        <w:pStyle w:val="Standar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66"/>
        </w:numPr>
        <w:tabs>
          <w:tab w:val="clear" w:pos="708"/>
          <w:tab w:val="left" w:pos="932" w:leader="none"/>
          <w:tab w:val="left" w:pos="1319" w:leader="none"/>
        </w:tabs>
        <w:suppressAutoHyphens w:val="false"/>
        <w:overflowPunct w:val="false"/>
        <w:spacing w:lineRule="auto" w:line="240"/>
        <w:ind w:left="392" w:hanging="392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stanovištích, které jsou uvedeny na webových stránkách obce.</w:t>
      </w:r>
    </w:p>
    <w:p>
      <w:pPr>
        <w:pStyle w:val="Standard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67"/>
        </w:numPr>
        <w:tabs>
          <w:tab w:val="clear" w:pos="708"/>
          <w:tab w:val="left" w:pos="426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color w:val="auto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Zvláštní sběrné nádoby jsou barevně odlišeny a označeny příslu</w:t>
      </w:r>
      <w:r>
        <w:rPr>
          <w:rFonts w:eastAsia="Calibri" w:cs="Arial" w:ascii="Arial" w:hAnsi="Arial"/>
          <w:color w:val="000000"/>
          <w:sz w:val="22"/>
          <w:szCs w:val="22"/>
          <w:shd w:fill="auto" w:val="clear"/>
          <w:lang w:eastAsia="en-US"/>
        </w:rPr>
        <w:t>šn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ými nápisy:</w:t>
      </w:r>
    </w:p>
    <w:p>
      <w:pPr>
        <w:pStyle w:val="Standard"/>
        <w:jc w:val="both"/>
        <w:rPr>
          <w:rFonts w:ascii="Arial" w:hAnsi="Arial" w:cs="Arial"/>
          <w:color w:val="auto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ListParagraph"/>
        <w:numPr>
          <w:ilvl w:val="0"/>
          <w:numId w:val="68"/>
        </w:numPr>
        <w:spacing w:lineRule="auto" w:line="240" w:before="0" w:after="0"/>
        <w:contextualSpacing/>
        <w:rPr>
          <w:color w:val="auto"/>
          <w:highlight w:val="none"/>
          <w:shd w:fill="auto" w:val="clear"/>
        </w:rPr>
      </w:pPr>
      <w:r>
        <w:rPr>
          <w:rFonts w:cs="Arial" w:ascii="Arial" w:hAnsi="Arial"/>
          <w:bCs/>
          <w:color w:val="000000"/>
          <w:shd w:fill="auto" w:val="clear"/>
        </w:rPr>
        <w:t>Biologické odpady rostlinného původu – velkoobjemové kontejnery,</w:t>
      </w:r>
    </w:p>
    <w:p>
      <w:pPr>
        <w:pStyle w:val="ListParagraph"/>
        <w:numPr>
          <w:ilvl w:val="0"/>
          <w:numId w:val="69"/>
        </w:numPr>
        <w:spacing w:lineRule="auto" w:line="240" w:before="0" w:after="0"/>
        <w:contextualSpacing/>
        <w:rPr>
          <w:color w:val="auto"/>
          <w:highlight w:val="none"/>
          <w:shd w:fill="auto" w:val="clear"/>
        </w:rPr>
      </w:pPr>
      <w:r>
        <w:rPr>
          <w:rFonts w:cs="Arial" w:ascii="Arial" w:hAnsi="Arial"/>
          <w:bCs/>
          <w:color w:val="000000"/>
          <w:shd w:fill="auto" w:val="clear"/>
        </w:rPr>
        <w:t>Papír, barva modrá,</w:t>
      </w:r>
    </w:p>
    <w:p>
      <w:pPr>
        <w:pStyle w:val="ListParagraph"/>
        <w:numPr>
          <w:ilvl w:val="0"/>
          <w:numId w:val="70"/>
        </w:numPr>
        <w:spacing w:lineRule="auto" w:line="240" w:before="0" w:after="0"/>
        <w:contextualSpacing/>
        <w:rPr>
          <w:color w:val="auto"/>
          <w:highlight w:val="none"/>
          <w:shd w:fill="auto" w:val="clear"/>
        </w:rPr>
      </w:pPr>
      <w:r>
        <w:rPr>
          <w:rFonts w:eastAsia="Calibri" w:cs="Arial" w:ascii="Arial" w:hAnsi="Arial"/>
          <w:bCs/>
          <w:color w:val="000000"/>
          <w:shd w:fill="auto" w:val="clear"/>
          <w:lang w:val="cs-CZ" w:eastAsia="zh-CN" w:bidi="ar-SA"/>
        </w:rPr>
        <w:t>Plasty, barva žlutá,</w:t>
      </w:r>
    </w:p>
    <w:p>
      <w:pPr>
        <w:pStyle w:val="ListParagraph"/>
        <w:numPr>
          <w:ilvl w:val="0"/>
          <w:numId w:val="71"/>
        </w:numPr>
        <w:spacing w:lineRule="auto" w:line="240" w:before="0" w:after="0"/>
        <w:contextualSpacing/>
        <w:rPr>
          <w:color w:val="auto"/>
          <w:highlight w:val="none"/>
          <w:shd w:fill="auto" w:val="clear"/>
        </w:rPr>
      </w:pPr>
      <w:r>
        <w:rPr>
          <w:rFonts w:cs="Arial" w:ascii="Arial" w:hAnsi="Arial"/>
          <w:bCs/>
          <w:color w:val="000000"/>
          <w:shd w:fill="auto" w:val="clear"/>
        </w:rPr>
        <w:t>Sklo, barva zelená,</w:t>
      </w:r>
    </w:p>
    <w:p>
      <w:pPr>
        <w:pStyle w:val="ListParagraph"/>
        <w:numPr>
          <w:ilvl w:val="0"/>
          <w:numId w:val="72"/>
        </w:numPr>
        <w:spacing w:lineRule="auto" w:line="240" w:before="0" w:after="0"/>
        <w:contextualSpacing/>
        <w:rPr>
          <w:color w:val="auto"/>
          <w:highlight w:val="none"/>
          <w:shd w:fill="auto" w:val="clear"/>
        </w:rPr>
      </w:pPr>
      <w:r>
        <w:rPr>
          <w:rFonts w:eastAsia="Calibri" w:cs="Arial" w:ascii="Arial" w:hAnsi="Arial"/>
          <w:bCs/>
          <w:color w:val="000000"/>
          <w:shd w:fill="auto" w:val="clear"/>
          <w:lang w:val="cs-CZ" w:eastAsia="zh-CN" w:bidi="ar-SA"/>
        </w:rPr>
        <w:t>Kovy, barva šedá a žlutá,</w:t>
      </w:r>
    </w:p>
    <w:p>
      <w:pPr>
        <w:pStyle w:val="Standard"/>
        <w:numPr>
          <w:ilvl w:val="0"/>
          <w:numId w:val="0"/>
        </w:numPr>
        <w:ind w:left="378" w:hanging="0"/>
        <w:rPr>
          <w:color w:val="auto"/>
          <w:highlight w:val="none"/>
          <w:shd w:fill="auto" w:val="clear"/>
        </w:rPr>
      </w:pPr>
      <w:r>
        <w:rPr>
          <w:rFonts w:cs="Arial" w:ascii="Arial" w:hAnsi="Arial"/>
          <w:iCs/>
          <w:color w:val="000000"/>
          <w:sz w:val="22"/>
          <w:szCs w:val="22"/>
          <w:shd w:fill="auto" w:val="clear"/>
        </w:rPr>
        <w:t xml:space="preserve">h) Jedlé oleje a tuky,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uzamčená nádoba 120 l, popř. 240 ls otvorem v čelní stěně,</w:t>
      </w:r>
      <w:r>
        <w:rPr>
          <w:rFonts w:cs="Arial" w:ascii="Arial" w:hAnsi="Arial"/>
          <w:iCs/>
          <w:color w:val="000000"/>
          <w:sz w:val="22"/>
          <w:szCs w:val="22"/>
          <w:shd w:fill="auto" w:val="clear"/>
        </w:rPr>
        <w:t xml:space="preserve"> barva antracitová,</w:t>
      </w:r>
    </w:p>
    <w:p>
      <w:pPr>
        <w:pStyle w:val="Standard"/>
        <w:numPr>
          <w:ilvl w:val="0"/>
          <w:numId w:val="0"/>
        </w:numPr>
        <w:ind w:left="378" w:hanging="0"/>
        <w:rPr>
          <w:color w:val="auto"/>
          <w:highlight w:val="none"/>
          <w:shd w:fill="auto" w:val="clear"/>
        </w:rPr>
      </w:pPr>
      <w:r>
        <w:rPr>
          <w:rFonts w:eastAsia="Times New Roman" w:cs="Arial" w:ascii="Arial" w:hAnsi="Arial"/>
          <w:iCs/>
          <w:color w:val="000000"/>
          <w:sz w:val="22"/>
          <w:szCs w:val="22"/>
          <w:shd w:fill="auto" w:val="clear"/>
          <w:lang w:val="cs-CZ" w:eastAsia="zh-CN" w:bidi="ar-SA"/>
        </w:rPr>
        <w:t>i) Nápojové kartony, barva oranžová, s oranžovou nálepkou a žlut</w:t>
      </w:r>
      <w:r>
        <w:rPr>
          <w:rFonts w:cs="Arial" w:ascii="Arial" w:hAnsi="Arial"/>
          <w:iCs/>
          <w:color w:val="000000"/>
          <w:sz w:val="22"/>
          <w:szCs w:val="22"/>
          <w:shd w:fill="auto" w:val="clear"/>
        </w:rPr>
        <w:t>á,</w:t>
      </w:r>
    </w:p>
    <w:p>
      <w:pPr>
        <w:pStyle w:val="Standard"/>
        <w:numPr>
          <w:ilvl w:val="0"/>
          <w:numId w:val="0"/>
        </w:numPr>
        <w:ind w:left="378" w:hanging="0"/>
        <w:rPr>
          <w:color w:val="auto"/>
          <w:highlight w:val="none"/>
          <w:shd w:fill="auto" w:val="clear"/>
        </w:rPr>
      </w:pPr>
      <w:r>
        <w:rPr>
          <w:rFonts w:cs="Arial" w:ascii="Arial" w:hAnsi="Arial"/>
          <w:iCs/>
          <w:color w:val="000000"/>
          <w:sz w:val="22"/>
          <w:szCs w:val="22"/>
          <w:shd w:fill="auto" w:val="clear"/>
        </w:rPr>
        <w:t>j) Textil, speciální uzavřené kontejnery se sklopným shozem</w:t>
      </w:r>
    </w:p>
    <w:p>
      <w:pPr>
        <w:pStyle w:val="Standard"/>
        <w:ind w:left="378" w:hanging="0"/>
        <w:rPr>
          <w:rFonts w:ascii="Arial" w:hAnsi="Arial" w:cs="Arial"/>
          <w:iCs/>
          <w:color w:val="auto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iCs/>
          <w:color w:val="000000"/>
          <w:sz w:val="22"/>
          <w:szCs w:val="22"/>
          <w:shd w:fill="auto" w:val="clear"/>
        </w:rPr>
      </w:r>
    </w:p>
    <w:p>
      <w:pPr>
        <w:pStyle w:val="Standard"/>
        <w:ind w:left="378" w:hanging="0"/>
        <w:rPr>
          <w:rFonts w:ascii="Arial" w:hAnsi="Arial" w:cs="Arial"/>
          <w:iCs/>
          <w:color w:val="auto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iCs/>
          <w:color w:val="000000"/>
          <w:sz w:val="22"/>
          <w:szCs w:val="22"/>
          <w:shd w:fill="auto" w:val="clear"/>
        </w:rPr>
      </w:r>
    </w:p>
    <w:p>
      <w:pPr>
        <w:pStyle w:val="Standard"/>
        <w:numPr>
          <w:ilvl w:val="0"/>
          <w:numId w:val="7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7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>
      <w:pPr>
        <w:pStyle w:val="Default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numPr>
          <w:ilvl w:val="0"/>
          <w:numId w:val="75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Biologické odpady lze také kompostovat na vlastním nebo užívaném pozemku. Kovový odpad je dále svážen mobilním svozem, informace o svozu jsou zveřejňovány </w:t>
      </w:r>
      <w:r>
        <w:rPr>
          <w:rFonts w:cs="Arial" w:ascii="Arial" w:hAnsi="Arial"/>
          <w:iCs/>
          <w:sz w:val="22"/>
          <w:szCs w:val="22"/>
        </w:rPr>
        <w:t>na úřední desce obecního úřadu,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výlepových plochách, v místním rozhlase a na webových stránkách obce</w:t>
      </w:r>
    </w:p>
    <w:p>
      <w:pPr>
        <w:pStyle w:val="Default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Standard"/>
        <w:ind w:left="360"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Standard"/>
        <w:numPr>
          <w:ilvl w:val="0"/>
          <w:numId w:val="76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iCs/>
          <w:sz w:val="22"/>
          <w:szCs w:val="22"/>
        </w:rPr>
        <w:t>na úřední desce obecního úřadu,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výlepových plochách, v místním rozhlase a na webových stránkách obce.</w:t>
      </w:r>
    </w:p>
    <w:p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7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Default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Standard"/>
        <w:ind w:left="360"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Standard"/>
        <w:numPr>
          <w:ilvl w:val="0"/>
          <w:numId w:val="78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objemného odpadu je zajišťován mobilním svozem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Cs/>
          <w:sz w:val="22"/>
          <w:szCs w:val="22"/>
        </w:rPr>
        <w:t>na úřední desce obecního úřadu,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výlepových plochách, v místním rozhlase a na webových stránkách obce.</w:t>
      </w:r>
    </w:p>
    <w:p>
      <w:pPr>
        <w:pStyle w:val="Standard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Standard"/>
        <w:numPr>
          <w:ilvl w:val="0"/>
          <w:numId w:val="79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objemného odpadu podléhá požadavkům stanoveným v čl. 3 odst. 4 a 5.</w:t>
      </w:r>
    </w:p>
    <w:p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jc w:val="center"/>
        <w:rPr>
          <w:color w:val="auto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Čl. 6</w:t>
      </w:r>
    </w:p>
    <w:p>
      <w:pPr>
        <w:pStyle w:val="Standard"/>
        <w:jc w:val="center"/>
        <w:rPr>
          <w:color w:val="auto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Soustřeďování směsného komunálního odpadu</w:t>
      </w:r>
    </w:p>
    <w:p>
      <w:pPr>
        <w:pStyle w:val="Standard"/>
        <w:jc w:val="center"/>
        <w:rPr>
          <w:rFonts w:ascii="Arial" w:hAnsi="Arial" w:cs="Arial"/>
          <w:b/>
          <w:color w:val="auto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</w:r>
    </w:p>
    <w:p>
      <w:pPr>
        <w:pStyle w:val="Standard"/>
        <w:widowControl w:val="false"/>
        <w:numPr>
          <w:ilvl w:val="0"/>
          <w:numId w:val="80"/>
        </w:numPr>
        <w:ind w:left="426" w:hanging="426"/>
        <w:jc w:val="both"/>
        <w:rPr>
          <w:color w:val="auto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Směsný komunální odpad se odkládá do sběrných nádob. Pro účely této vyhlášky se sběrnými nádobami rozumějí:</w:t>
      </w:r>
    </w:p>
    <w:p>
      <w:pPr>
        <w:pStyle w:val="Standard"/>
        <w:numPr>
          <w:ilvl w:val="0"/>
          <w:numId w:val="81"/>
        </w:numPr>
        <w:ind w:left="709" w:hanging="307"/>
        <w:jc w:val="both"/>
        <w:rPr>
          <w:color w:val="auto"/>
          <w:highlight w:val="none"/>
          <w:shd w:fill="auto" w:val="clear"/>
        </w:rPr>
      </w:pPr>
      <w:r>
        <w:rPr>
          <w:rFonts w:cs="Arial" w:ascii="Arial" w:hAnsi="Arial"/>
          <w:bCs/>
          <w:color w:val="000000"/>
          <w:sz w:val="22"/>
          <w:szCs w:val="22"/>
          <w:shd w:fill="auto" w:val="clear"/>
        </w:rPr>
        <w:t>Popelnice – odpadové nádoby antracitové barvy označené nálepkou</w:t>
      </w:r>
    </w:p>
    <w:p>
      <w:pPr>
        <w:pStyle w:val="Standard"/>
        <w:ind w:left="709" w:hanging="307"/>
        <w:jc w:val="both"/>
        <w:rPr>
          <w:rFonts w:ascii="Arial" w:hAnsi="Arial" w:cs="Arial"/>
          <w:color w:val="auto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Standard"/>
        <w:numPr>
          <w:ilvl w:val="0"/>
          <w:numId w:val="82"/>
        </w:numPr>
        <w:ind w:left="426" w:hanging="426"/>
        <w:jc w:val="both"/>
        <w:rPr>
          <w:color w:val="auto"/>
          <w:highlight w:val="none"/>
          <w:shd w:fill="auto" w:val="clear"/>
        </w:rPr>
      </w:pPr>
      <w:r>
        <w:rPr>
          <w:rFonts w:eastAsia="Times New Roman" w:cs="Arial" w:ascii="Arial" w:hAnsi="Arial"/>
          <w:color w:val="000000"/>
          <w:sz w:val="22"/>
          <w:szCs w:val="22"/>
          <w:shd w:fill="auto" w:val="clear"/>
          <w:lang w:val="cs-CZ" w:eastAsia="zh-CN" w:bidi="ar-SA"/>
        </w:rPr>
        <w:t>V případě nabídky na oddělený sběr popela z domácností svozovou firmou lze využít odděleného svozu této komodity v topné sezónně.</w:t>
      </w:r>
    </w:p>
    <w:p>
      <w:pPr>
        <w:pStyle w:val="Standard"/>
        <w:ind w:left="709" w:hanging="307"/>
        <w:jc w:val="both"/>
        <w:rPr>
          <w:rFonts w:ascii="Arial" w:hAnsi="Arial" w:cs="Arial"/>
          <w:color w:val="auto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Standard"/>
        <w:numPr>
          <w:ilvl w:val="0"/>
          <w:numId w:val="0"/>
        </w:numPr>
        <w:ind w:left="426" w:hanging="0"/>
        <w:jc w:val="both"/>
        <w:rPr>
          <w:color w:val="auto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3) Soustřeďování směsného komunálního odpadu podléhá požadavkům stanoveným </w:t>
        <w:br/>
        <w:t>v čl. 3 odst. 4 a 5.</w:t>
      </w:r>
    </w:p>
    <w:p>
      <w:pPr>
        <w:pStyle w:val="Default"/>
        <w:ind w:left="360" w:hanging="0"/>
        <w:jc w:val="both"/>
        <w:rPr>
          <w:color w:val="auto"/>
          <w:sz w:val="22"/>
          <w:szCs w:val="22"/>
          <w:highlight w:val="none"/>
          <w:shd w:fill="auto" w:val="clear"/>
        </w:rPr>
      </w:pPr>
      <w:r>
        <w:rPr>
          <w:color w:val="000000"/>
          <w:sz w:val="22"/>
          <w:szCs w:val="22"/>
          <w:shd w:fill="auto" w:val="clear"/>
        </w:rPr>
      </w:r>
    </w:p>
    <w:p>
      <w:pPr>
        <w:pStyle w:val="Standard"/>
        <w:jc w:val="center"/>
        <w:rPr>
          <w:color w:val="auto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Čl. 7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  <w:shd w:fill="auto" w:val="clear"/>
        </w:rPr>
        <w:t>Nakládání s komunálním odpa</w:t>
      </w:r>
      <w:r>
        <w:rPr>
          <w:rFonts w:cs="Arial" w:ascii="Arial" w:hAnsi="Arial"/>
          <w:b/>
          <w:bCs/>
          <w:sz w:val="22"/>
          <w:szCs w:val="22"/>
          <w:u w:val="none"/>
        </w:rPr>
        <w:t>dem vznikajícím na území obce při činnosti právnických a podnikajících fyzických osob</w:t>
      </w:r>
    </w:p>
    <w:p>
      <w:pPr>
        <w:pStyle w:val="Standar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Standard"/>
        <w:numPr>
          <w:ilvl w:val="0"/>
          <w:numId w:val="8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Právnické a podnikající fyzické osoby zapojené do obecního systému na základě smlouvy s obcí komunální odpad dle čl. 2 odst. 1 písm. a), b), c), d), e), i) a j) předávají do příslušných sběrných nádob na stanovištích, která jsou zveřejněna na webových stránkách obce.</w:t>
      </w:r>
    </w:p>
    <w:p>
      <w:pPr>
        <w:pStyle w:val="Standard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84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>Výše úhrady za zapojení do obecního systému se stanoví podle ceníku, který je zveřejněn na webových stránkách obce.</w:t>
      </w:r>
    </w:p>
    <w:p>
      <w:pPr>
        <w:pStyle w:val="Standard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8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Úhrada se vybírá jednorázově, a to v hotovosti nebo převodem na účet.</w:t>
      </w:r>
    </w:p>
    <w:p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Standard"/>
        <w:numPr>
          <w:ilvl w:val="0"/>
          <w:numId w:val="86"/>
        </w:numPr>
        <w:tabs>
          <w:tab w:val="clear" w:pos="708"/>
          <w:tab w:val="left" w:pos="34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 oděvy a textil.</w:t>
      </w:r>
    </w:p>
    <w:p>
      <w:pPr>
        <w:pStyle w:val="Standard"/>
        <w:tabs>
          <w:tab w:val="clear" w:pos="708"/>
          <w:tab w:val="left" w:pos="106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numPr>
          <w:ilvl w:val="0"/>
          <w:numId w:val="87"/>
        </w:numPr>
        <w:tabs>
          <w:tab w:val="clear" w:pos="708"/>
          <w:tab w:val="left" w:pos="34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Movité věci uvedené v odst. 1 lze předávat do sběrné nádoby s nápisem „Oděvy a textil“, stanoviště nádob je uvedeno na webových stránkách obce. Movitá věc musí být předána v takovém stavu, aby bylo možné její opětovné použití.</w:t>
      </w:r>
    </w:p>
    <w:p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výrobky s ukončenou životností v rámci služby pro výrobce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Standar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Standard"/>
        <w:numPr>
          <w:ilvl w:val="0"/>
          <w:numId w:val="8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služby pro výrobce nakládá s těmito výrobky s ukončenou životností:</w:t>
      </w:r>
    </w:p>
    <w:p>
      <w:pPr>
        <w:pStyle w:val="Standard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elektrozařízení</w:t>
      </w:r>
    </w:p>
    <w:p>
      <w:pPr>
        <w:pStyle w:val="Standard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baterie a akumulátory</w:t>
      </w:r>
    </w:p>
    <w:p>
      <w:pPr>
        <w:pStyle w:val="Standard"/>
        <w:ind w:left="720" w:hanging="0"/>
        <w:jc w:val="both"/>
        <w:rPr>
          <w:rFonts w:ascii="Arial" w:hAnsi="Arial" w:cs="Arial"/>
          <w:color w:val="auto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Standard"/>
        <w:numPr>
          <w:ilvl w:val="0"/>
          <w:numId w:val="89"/>
        </w:numPr>
        <w:ind w:left="426" w:hanging="426"/>
        <w:jc w:val="both"/>
        <w:rPr>
          <w:color w:val="auto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Výrobky s ukončenou životností uvedené v odst. 1 lze předávat na stanovištích, která jsou uvedena na webových stránkách obce.</w:t>
      </w:r>
    </w:p>
    <w:p>
      <w:pPr>
        <w:pStyle w:val="Standard"/>
        <w:tabs>
          <w:tab w:val="clear" w:pos="708"/>
          <w:tab w:val="left" w:pos="1069" w:leader="none"/>
        </w:tabs>
        <w:ind w:left="360" w:hanging="0"/>
        <w:jc w:val="both"/>
        <w:rPr>
          <w:rFonts w:ascii="Arial" w:hAnsi="Arial" w:cs="Arial"/>
          <w:i/>
          <w:i/>
          <w:color w:val="auto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</w:r>
    </w:p>
    <w:p>
      <w:pPr>
        <w:pStyle w:val="Standard"/>
        <w:jc w:val="center"/>
        <w:rPr>
          <w:color w:val="auto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Čl. 10</w:t>
      </w:r>
    </w:p>
    <w:p>
      <w:pPr>
        <w:pStyle w:val="Standard"/>
        <w:keepNext w:val="true"/>
        <w:spacing w:lineRule="auto" w:line="276"/>
        <w:jc w:val="center"/>
        <w:rPr>
          <w:color w:val="auto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Zrušovací ustanovení</w:t>
      </w:r>
    </w:p>
    <w:p>
      <w:pPr>
        <w:pStyle w:val="Standard"/>
        <w:spacing w:lineRule="auto" w:line="276"/>
        <w:ind w:firstLine="709"/>
        <w:rPr>
          <w:color w:val="auto"/>
          <w:highlight w:val="none"/>
          <w:shd w:fill="auto" w:val="clear"/>
        </w:rPr>
      </w:pPr>
      <w:r>
        <w:rPr>
          <w:rFonts w:eastAsia="Times New Roman" w:cs="Arial" w:ascii="Arial" w:hAnsi="Arial"/>
          <w:color w:val="000000"/>
          <w:sz w:val="22"/>
          <w:szCs w:val="22"/>
          <w:shd w:fill="auto" w:val="clear"/>
          <w:lang w:val="cs-CZ" w:eastAsia="zh-CN" w:bidi="ar-SA"/>
        </w:rPr>
        <w:t xml:space="preserve">Zrušuje se obecně závazná vyhláška obce Ostrá č. 5/2024, o použití </w:t>
      </w:r>
      <w:r>
        <w:rPr>
          <w:rFonts w:eastAsia="Times New Roman" w:cs="Arial" w:ascii="Arial" w:hAnsi="Arial"/>
          <w:color w:val="000000"/>
          <w:sz w:val="22"/>
          <w:szCs w:val="22"/>
          <w:shd w:fill="auto" w:val="clear"/>
          <w:lang w:val="cs-CZ" w:eastAsia="zh-CN" w:bidi="ar-SA"/>
        </w:rPr>
        <w:t>o stanovení obecního systému odpadového hospodářství ze dne 16.12. 2024.</w:t>
      </w:r>
    </w:p>
    <w:p>
      <w:pPr>
        <w:pStyle w:val="Standard"/>
        <w:keepNext w:val="true"/>
        <w:spacing w:lineRule="auto" w:line="276"/>
        <w:jc w:val="center"/>
        <w:rPr>
          <w:rFonts w:ascii="Arial" w:hAnsi="Arial" w:cs="Arial"/>
          <w:color w:val="auto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Standard"/>
        <w:spacing w:lineRule="auto" w:line="276"/>
        <w:jc w:val="center"/>
        <w:rPr>
          <w:color w:val="auto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z w:val="22"/>
          <w:szCs w:val="22"/>
          <w:shd w:fill="auto" w:val="clear"/>
        </w:rPr>
        <w:t>Čl. 11</w:t>
      </w:r>
    </w:p>
    <w:p>
      <w:pPr>
        <w:pStyle w:val="Standard"/>
        <w:keepNext w:val="true"/>
        <w:spacing w:lineRule="auto" w:line="276"/>
        <w:jc w:val="center"/>
        <w:rPr>
          <w:color w:val="auto"/>
          <w:highlight w:val="none"/>
          <w:shd w:fill="auto" w:val="clear"/>
        </w:rPr>
      </w:pPr>
      <w:r>
        <w:rPr>
          <w:rFonts w:eastAsia="Times New Roman" w:cs="Arial" w:ascii="Arial" w:hAnsi="Arial"/>
          <w:b/>
          <w:color w:val="000000"/>
          <w:sz w:val="22"/>
          <w:szCs w:val="22"/>
          <w:shd w:fill="auto" w:val="clear"/>
          <w:lang w:val="cs-CZ" w:eastAsia="zh-CN" w:bidi="ar-SA"/>
        </w:rPr>
        <w:t>Účinnost</w:t>
      </w:r>
    </w:p>
    <w:p>
      <w:pPr>
        <w:pStyle w:val="Standard"/>
        <w:spacing w:lineRule="auto" w:line="276"/>
        <w:ind w:firstLine="709"/>
        <w:rPr>
          <w:color w:val="auto"/>
          <w:highlight w:val="none"/>
          <w:shd w:fill="auto" w:val="clear"/>
        </w:rPr>
      </w:pPr>
      <w:r>
        <w:rPr>
          <w:rFonts w:eastAsia="Times New Roman" w:cs="Arial" w:ascii="Arial" w:hAnsi="Arial"/>
          <w:color w:val="000000"/>
          <w:sz w:val="22"/>
          <w:szCs w:val="22"/>
          <w:shd w:fill="auto" w:val="clear"/>
          <w:lang w:val="cs-CZ" w:eastAsia="zh-CN" w:bidi="ar-SA"/>
        </w:rPr>
        <w:t>Tato obecně závazná vyhláška nabývá účinnosti dnem 1. ledna 2026.</w:t>
      </w:r>
    </w:p>
    <w:p>
      <w:pPr>
        <w:pStyle w:val="Standard"/>
        <w:spacing w:lineRule="auto" w:line="276"/>
        <w:rPr>
          <w:rFonts w:ascii="Arial" w:hAnsi="Arial" w:cs="Arial"/>
          <w:color w:val="auto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Standard"/>
        <w:tabs>
          <w:tab w:val="clear" w:pos="708"/>
          <w:tab w:val="left" w:pos="1080" w:leader="none"/>
        </w:tabs>
        <w:ind w:left="540" w:hanging="0"/>
        <w:jc w:val="both"/>
        <w:rPr>
          <w:rFonts w:ascii="Arial" w:hAnsi="Arial" w:cs="Arial"/>
          <w:color w:val="auto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</w:r>
    </w:p>
    <w:p>
      <w:pPr>
        <w:pStyle w:val="Standard"/>
        <w:tabs>
          <w:tab w:val="clear" w:pos="708"/>
          <w:tab w:val="left" w:pos="1080" w:leader="none"/>
        </w:tabs>
        <w:ind w:left="54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ind w:left="708" w:hanging="0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Standard"/>
        <w:ind w:left="708" w:hanging="0"/>
        <w:rPr/>
      </w:pPr>
      <w:r>
        <w:rPr>
          <w:rFonts w:eastAsia="Arial"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>…...….……………........…..</w:t>
      </w:r>
    </w:p>
    <w:p>
      <w:pPr>
        <w:pStyle w:val="Standard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Ing. Jiří Čenský</w:t>
        <w:tab/>
        <w:t>v.r.</w:t>
        <w:tab/>
        <w:tab/>
        <w:tab/>
        <w:tab/>
        <w:tab/>
        <w:t>Mgr. Jana Kaucká v.r.</w:t>
      </w:r>
    </w:p>
    <w:p>
      <w:pPr>
        <w:pStyle w:val="Standard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ab/>
        <w:t>starostka</w:t>
      </w:r>
    </w:p>
    <w:p>
      <w:pPr>
        <w:pStyle w:val="Standard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Standard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Standard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ab/>
        <w:t xml:space="preserve"> </w:t>
      </w:r>
      <w:r>
        <w:rPr>
          <w:rFonts w:cs="Arial" w:ascii="Arial" w:hAnsi="Arial"/>
        </w:rPr>
        <w:t>§ 61 zákona o odpadech</w:t>
      </w:r>
    </w:p>
    <w:p>
      <w:pPr>
        <w:pStyle w:val="Normal"/>
        <w:rPr/>
      </w:pPr>
      <w:r>
        <w:rPr/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ab/>
        <w:t xml:space="preserve"> </w:t>
      </w:r>
      <w:r>
        <w:rPr>
          <w:rFonts w:cs="Arial" w:ascii="Arial" w:hAnsi="Arial"/>
        </w:rPr>
        <w:t>§ 60 zákona o odpadech</w:t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18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19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20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u w:val="none"/>
        <w:b w:val="false"/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2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u w:val="none"/>
        <w:b w:val="false"/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2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u w:val="none"/>
        <w:b w:val="false"/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2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2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2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2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2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28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u w:val="none"/>
        <w:b w:val="false"/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29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u w:val="none"/>
        <w:b w:val="false"/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0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u w:val="none"/>
        <w:b w:val="false"/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6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eastAsia="Times New Roman" w:cs="Arial"/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000000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3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4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4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4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4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4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  <w:rPr/>
    </w:lvl>
  </w:abstractNum>
  <w:abstractNum w:abstractNumId="4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1"/>
    <w:lvlOverride w:ilvl="0">
      <w:startOverride w:val="1"/>
    </w:lvlOverride>
  </w:num>
  <w:num w:numId="47">
    <w:abstractNumId w:val="1"/>
  </w:num>
  <w:num w:numId="48">
    <w:abstractNumId w:val="1"/>
  </w:num>
  <w:num w:numId="49">
    <w:abstractNumId w:val="1"/>
  </w:num>
  <w:num w:numId="50">
    <w:abstractNumId w:val="1"/>
  </w:num>
  <w:num w:numId="51">
    <w:abstractNumId w:val="6"/>
    <w:lvlOverride w:ilvl="0">
      <w:startOverride w:val="1"/>
    </w:lvlOverride>
  </w:num>
  <w:num w:numId="52">
    <w:abstractNumId w:val="7"/>
    <w:lvlOverride w:ilvl="0">
      <w:startOverride w:val="1"/>
    </w:lvlOverride>
  </w:num>
  <w:num w:numId="53">
    <w:abstractNumId w:val="7"/>
  </w:num>
  <w:num w:numId="54">
    <w:abstractNumId w:val="7"/>
  </w:num>
  <w:num w:numId="55">
    <w:abstractNumId w:val="7"/>
  </w:num>
  <w:num w:numId="56">
    <w:abstractNumId w:val="7"/>
  </w:num>
  <w:num w:numId="57">
    <w:abstractNumId w:val="7"/>
  </w:num>
  <w:num w:numId="58">
    <w:abstractNumId w:val="7"/>
  </w:num>
  <w:num w:numId="59">
    <w:abstractNumId w:val="7"/>
  </w:num>
  <w:num w:numId="60">
    <w:abstractNumId w:val="7"/>
  </w:num>
  <w:num w:numId="61">
    <w:abstractNumId w:val="7"/>
  </w:num>
  <w:num w:numId="62">
    <w:abstractNumId w:val="7"/>
  </w:num>
  <w:num w:numId="63">
    <w:abstractNumId w:val="6"/>
  </w:num>
  <w:num w:numId="64">
    <w:abstractNumId w:val="6"/>
  </w:num>
  <w:num w:numId="65">
    <w:abstractNumId w:val="20"/>
    <w:lvlOverride w:ilvl="0">
      <w:startOverride w:val="1"/>
    </w:lvlOverride>
  </w:num>
  <w:num w:numId="66">
    <w:abstractNumId w:val="20"/>
  </w:num>
  <w:num w:numId="67">
    <w:abstractNumId w:val="20"/>
  </w:num>
  <w:num w:numId="68">
    <w:abstractNumId w:val="23"/>
    <w:lvlOverride w:ilvl="0">
      <w:startOverride w:val="1"/>
    </w:lvlOverride>
  </w:num>
  <w:num w:numId="69">
    <w:abstractNumId w:val="23"/>
  </w:num>
  <w:num w:numId="70">
    <w:abstractNumId w:val="23"/>
  </w:num>
  <w:num w:numId="71">
    <w:abstractNumId w:val="23"/>
  </w:num>
  <w:num w:numId="72">
    <w:abstractNumId w:val="23"/>
  </w:num>
  <w:num w:numId="73">
    <w:abstractNumId w:val="20"/>
  </w:num>
  <w:num w:numId="74">
    <w:abstractNumId w:val="20"/>
  </w:num>
  <w:num w:numId="75">
    <w:abstractNumId w:val="20"/>
  </w:num>
  <w:num w:numId="76">
    <w:abstractNumId w:val="31"/>
    <w:lvlOverride w:ilvl="0">
      <w:startOverride w:val="1"/>
    </w:lvlOverride>
  </w:num>
  <w:num w:numId="77">
    <w:abstractNumId w:val="31"/>
  </w:num>
  <w:num w:numId="78">
    <w:abstractNumId w:val="33"/>
    <w:lvlOverride w:ilvl="0">
      <w:startOverride w:val="1"/>
    </w:lvlOverride>
  </w:num>
  <w:num w:numId="79">
    <w:abstractNumId w:val="33"/>
  </w:num>
  <w:num w:numId="80">
    <w:abstractNumId w:val="35"/>
    <w:lvlOverride w:ilvl="0">
      <w:startOverride w:val="1"/>
    </w:lvlOverride>
  </w:num>
  <w:num w:numId="81">
    <w:abstractNumId w:val="36"/>
    <w:lvlOverride w:ilvl="0">
      <w:startOverride w:val="1"/>
    </w:lvlOverride>
  </w:num>
  <w:num w:numId="82">
    <w:abstractNumId w:val="35"/>
  </w:num>
  <w:num w:numId="83">
    <w:abstractNumId w:val="38"/>
    <w:lvlOverride w:ilvl="0">
      <w:startOverride w:val="1"/>
    </w:lvlOverride>
  </w:num>
  <w:num w:numId="84">
    <w:abstractNumId w:val="38"/>
  </w:num>
  <w:num w:numId="85">
    <w:abstractNumId w:val="38"/>
  </w:num>
  <w:num w:numId="86">
    <w:abstractNumId w:val="41"/>
    <w:lvlOverride w:ilvl="0">
      <w:startOverride w:val="1"/>
    </w:lvlOverride>
  </w:num>
  <w:num w:numId="87">
    <w:abstractNumId w:val="41"/>
  </w:num>
  <w:num w:numId="88">
    <w:abstractNumId w:val="43"/>
    <w:lvlOverride w:ilvl="0">
      <w:startOverride w:val="1"/>
    </w:lvlOverride>
  </w:num>
  <w:num w:numId="89">
    <w:abstractNumId w:val="43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2">
    <w:name w:val="Heading 2"/>
    <w:basedOn w:val="Standard"/>
    <w:next w:val="Standard"/>
    <w:uiPriority w:val="9"/>
    <w:unhideWhenUsed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>
      <w:color w:val="000000"/>
    </w:rPr>
  </w:style>
  <w:style w:type="character" w:styleId="WW8Num4z0" w:customStyle="1">
    <w:name w:val="WW8Num4z0"/>
    <w:qFormat/>
    <w:rPr>
      <w:rFonts w:cs="Arial"/>
    </w:rPr>
  </w:style>
  <w:style w:type="character" w:styleId="WW8Num5z0" w:customStyle="1">
    <w:name w:val="WW8Num5z0"/>
    <w:qFormat/>
    <w:rPr>
      <w:rFonts w:cs="Arial"/>
    </w:rPr>
  </w:style>
  <w:style w:type="character" w:styleId="WW8Num6z0" w:customStyle="1">
    <w:name w:val="WW8Num6z0"/>
    <w:qFormat/>
    <w:rPr>
      <w:rFonts w:cs="Arial"/>
      <w:color w:val="000000"/>
    </w:rPr>
  </w:style>
  <w:style w:type="character" w:styleId="WW8Num7z0" w:customStyle="1">
    <w:name w:val="WW8Num7z0"/>
    <w:qFormat/>
    <w:rPr>
      <w:rFonts w:cs="Arial"/>
      <w:color w:val="000000"/>
    </w:rPr>
  </w:style>
  <w:style w:type="character" w:styleId="WW8Num8z0" w:customStyle="1">
    <w:name w:val="WW8Num8z0"/>
    <w:qFormat/>
    <w:rPr>
      <w:rFonts w:cs="Arial"/>
    </w:rPr>
  </w:style>
  <w:style w:type="character" w:styleId="WW8Num9z0" w:customStyle="1">
    <w:name w:val="WW8Num9z0"/>
    <w:qFormat/>
    <w:rPr>
      <w:rFonts w:cs="Arial"/>
      <w:i w:val="false"/>
    </w:rPr>
  </w:style>
  <w:style w:type="character" w:styleId="WW8Num10z0" w:customStyle="1">
    <w:name w:val="WW8Num10z0"/>
    <w:qFormat/>
    <w:rPr>
      <w:strike w:val="false"/>
      <w:dstrike w:val="false"/>
      <w:color w:val="000000"/>
    </w:rPr>
  </w:style>
  <w:style w:type="character" w:styleId="WW8Num11z0" w:customStyle="1">
    <w:name w:val="WW8Num11z0"/>
    <w:qFormat/>
    <w:rPr>
      <w:rFonts w:eastAsia="Times New Roman" w:cs="Times New Roman"/>
    </w:rPr>
  </w:style>
  <w:style w:type="character" w:styleId="WW8Num12z0" w:customStyle="1">
    <w:name w:val="WW8Num12z0"/>
    <w:qFormat/>
    <w:rPr>
      <w:rFonts w:cs="Arial"/>
      <w:b w:val="false"/>
      <w:u w:val="none"/>
    </w:rPr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>
      <w:rFonts w:ascii="Arial" w:hAnsi="Arial" w:eastAsia="Times New Roman" w:cs="Arial"/>
      <w:color w:val="000000"/>
    </w:rPr>
  </w:style>
  <w:style w:type="character" w:styleId="WW8Num15z0" w:customStyle="1">
    <w:name w:val="WW8Num15z0"/>
    <w:qFormat/>
    <w:rPr>
      <w:rFonts w:cs="Arial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color w:val="000000"/>
    </w:rPr>
  </w:style>
  <w:style w:type="character" w:styleId="WW8Num11z1" w:customStyle="1">
    <w:name w:val="WW8Num11z1"/>
    <w:qFormat/>
    <w:rPr>
      <w:rFonts w:cs="Times New Roman"/>
    </w:rPr>
  </w:style>
  <w:style w:type="character" w:styleId="WW8Num16z0" w:customStyle="1">
    <w:name w:val="WW8Num16z0"/>
    <w:qFormat/>
    <w:rPr>
      <w:color w:val="000000"/>
    </w:rPr>
  </w:style>
  <w:style w:type="character" w:styleId="WW8Num17z0" w:customStyle="1">
    <w:name w:val="WW8Num17z0"/>
    <w:qFormat/>
    <w:rPr>
      <w:i w:val="false"/>
    </w:rPr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>
      <w:rFonts w:ascii="Arial" w:hAnsi="Arial" w:eastAsia="Times New Roman" w:cs="Arial"/>
    </w:rPr>
  </w:style>
  <w:style w:type="character" w:styleId="WW8Num21z0" w:customStyle="1">
    <w:name w:val="WW8Num21z0"/>
    <w:qFormat/>
    <w:rPr>
      <w:rFonts w:cs="Times New Roman"/>
    </w:rPr>
  </w:style>
  <w:style w:type="character" w:styleId="WW8Num21z1" w:customStyle="1">
    <w:name w:val="WW8Num21z1"/>
    <w:qFormat/>
    <w:rPr>
      <w:rFonts w:cs="Times New Roman"/>
    </w:rPr>
  </w:style>
  <w:style w:type="character" w:styleId="WW8Num22z0" w:customStyle="1">
    <w:name w:val="WW8Num22z0"/>
    <w:qFormat/>
    <w:rPr>
      <w:rFonts w:eastAsia="Times New Roman" w:cs="Times New Roman"/>
    </w:rPr>
  </w:style>
  <w:style w:type="character" w:styleId="WW8Num22z1" w:customStyle="1">
    <w:name w:val="WW8Num22z1"/>
    <w:qFormat/>
    <w:rPr>
      <w:rFonts w:cs="Times New Roman"/>
    </w:rPr>
  </w:style>
  <w:style w:type="character" w:styleId="WW8Num23z0" w:customStyle="1">
    <w:name w:val="WW8Num23z0"/>
    <w:qFormat/>
    <w:rPr>
      <w:b w:val="false"/>
      <w:u w:val="none"/>
    </w:rPr>
  </w:style>
  <w:style w:type="character" w:styleId="WW8Num24z0" w:customStyle="1">
    <w:name w:val="WW8Num24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strike w:val="false"/>
      <w:dstrike w:val="false"/>
      <w:color w:val="000000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>
      <w:rFonts w:ascii="Arial" w:hAnsi="Arial" w:eastAsia="Times New Roman" w:cs="Arial"/>
      <w:color w:val="000000"/>
    </w:rPr>
  </w:style>
  <w:style w:type="character" w:styleId="Standardnpsmoodstavce1" w:customStyle="1">
    <w:name w:val="Standardní písmo odstavce1"/>
    <w:qFormat/>
    <w:rPr/>
  </w:style>
  <w:style w:type="character" w:styleId="FootnoteSymbol" w:customStyle="1">
    <w:name w:val="Footnote Symbol"/>
    <w:qFormat/>
    <w:rPr>
      <w:vertAlign w:val="superscript"/>
    </w:rPr>
  </w:style>
  <w:style w:type="character" w:styleId="Odkaznakoment1" w:customStyle="1">
    <w:name w:val="Odkaz na komentář1"/>
    <w:qFormat/>
    <w:rPr>
      <w:sz w:val="16"/>
      <w:szCs w:val="16"/>
    </w:rPr>
  </w:style>
  <w:style w:type="character" w:styleId="TextkomenteChar" w:customStyle="1">
    <w:name w:val="Text komentáře Char"/>
    <w:basedOn w:val="Standardnpsmoodstavce1"/>
    <w:qFormat/>
    <w:rPr/>
  </w:style>
  <w:style w:type="character" w:styleId="PedmtkomenteChar" w:customStyle="1">
    <w:name w:val="Předmět komentáře Char"/>
    <w:qFormat/>
    <w:rPr>
      <w:b/>
      <w:bCs/>
    </w:rPr>
  </w:style>
  <w:style w:type="character" w:styleId="ZpatChar" w:customStyle="1">
    <w:name w:val="Zápatí Char"/>
    <w:qFormat/>
    <w:rPr>
      <w:sz w:val="24"/>
      <w:szCs w:val="24"/>
    </w:rPr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EndnoteSymbol" w:customStyle="1">
    <w:name w:val="Endnote Symbol"/>
    <w:qFormat/>
    <w:rPr>
      <w:vertAlign w:val="superscript"/>
    </w:rPr>
  </w:style>
  <w:style w:type="character" w:styleId="WW-Znakyprovysvtlivky" w:customStyle="1">
    <w:name w:val="WW-Znaky pro vysvětlivky"/>
    <w:qFormat/>
    <w:rPr/>
  </w:style>
  <w:style w:type="character" w:styleId="Linenumbering" w:customStyle="1">
    <w:name w:val="Line numbering"/>
    <w:qFormat/>
    <w:rPr/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Slovndk">
    <w:name w:val="Line Number"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>
      <w:rFonts w:cs="Lucida Sans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cs-CZ" w:eastAsia="zh-CN" w:bidi="ar-SA"/>
    </w:rPr>
  </w:style>
  <w:style w:type="paragraph" w:styleId="Textbody" w:customStyle="1">
    <w:name w:val="Text body"/>
    <w:basedOn w:val="Standard"/>
    <w:qFormat/>
    <w:pPr>
      <w:spacing w:before="0" w:after="120"/>
    </w:pPr>
    <w:rPr>
      <w:szCs w:val="20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styleId="Textbodyindent" w:customStyle="1">
    <w:name w:val="Text body indent"/>
    <w:basedOn w:val="Standard"/>
    <w:qFormat/>
    <w:pPr>
      <w:ind w:left="708" w:firstLine="357"/>
      <w:jc w:val="both"/>
    </w:pPr>
    <w:rPr>
      <w:szCs w:val="20"/>
    </w:rPr>
  </w:style>
  <w:style w:type="paragraph" w:styleId="Zkladntextodsazen21" w:customStyle="1">
    <w:name w:val="Základní text odsazený 21"/>
    <w:basedOn w:val="Standard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Standard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Standard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NormlnIMP" w:customStyle="1">
    <w:name w:val="Normální_IMP"/>
    <w:basedOn w:val="Standard"/>
    <w:qFormat/>
    <w:pPr>
      <w:overflowPunct w:val="true"/>
      <w:spacing w:lineRule="auto" w:line="228"/>
      <w:jc w:val="both"/>
    </w:pPr>
    <w:rPr>
      <w:szCs w:val="20"/>
    </w:rPr>
  </w:style>
  <w:style w:type="paragraph" w:styleId="Textkomente1" w:customStyle="1">
    <w:name w:val="Text komentáře1"/>
    <w:basedOn w:val="Standard"/>
    <w:qFormat/>
    <w:pPr/>
    <w:rPr>
      <w:sz w:val="20"/>
      <w:szCs w:val="20"/>
    </w:rPr>
  </w:style>
  <w:style w:type="paragraph" w:styleId="Zkladntextodsazen31" w:customStyle="1">
    <w:name w:val="Základní text odsazený 31"/>
    <w:basedOn w:val="Standard"/>
    <w:qFormat/>
    <w:pPr>
      <w:widowControl w:val="false"/>
      <w:tabs>
        <w:tab w:val="clear" w:pos="708"/>
        <w:tab w:val="left" w:pos="108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basedOn w:val="Standard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Annotationsubject">
    <w:name w:val="annotation subject"/>
    <w:basedOn w:val="Textkomente1"/>
    <w:next w:val="Textkomente1"/>
    <w:qFormat/>
    <w:pPr/>
    <w:rPr>
      <w:b/>
      <w:bCs/>
    </w:rPr>
  </w:style>
  <w:style w:type="paragraph" w:styleId="Zpat">
    <w:name w:val="Footer"/>
    <w:basedOn w:val="Standar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000000"/>
      <w:kern w:val="2"/>
      <w:sz w:val="24"/>
      <w:szCs w:val="24"/>
      <w:lang w:val="cs-CZ" w:eastAsia="zh-CN" w:bidi="ar-SA"/>
    </w:rPr>
  </w:style>
  <w:style w:type="paragraph" w:styleId="Revision">
    <w:name w:val="Revision"/>
    <w:uiPriority w:val="99"/>
    <w:semiHidden/>
    <w:qFormat/>
    <w:rsid w:val="002b46e6"/>
    <w:pPr>
      <w:widowControl/>
      <w:suppressAutoHyphens w:val="true"/>
      <w:bidi w:val="0"/>
      <w:spacing w:before="0" w:after="0"/>
      <w:jc w:val="left"/>
      <w:textAlignment w:val="auto"/>
    </w:pPr>
    <w:rPr>
      <w:rFonts w:ascii="Liberation Serif" w:hAnsi="Liberation Serif" w:eastAsia="NSimSun" w:cs="Mangal"/>
      <w:color w:val="auto"/>
      <w:kern w:val="2"/>
      <w:sz w:val="24"/>
      <w:szCs w:val="21"/>
      <w:lang w:val="cs-CZ" w:eastAsia="zh-CN" w:bidi="hi-IN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LibreOffice/7.5.1.2$Windows_X86_64 LibreOffice_project/fcbaee479e84c6cd81291587d2ee68cba099e129</Application>
  <AppVersion>15.0000</AppVersion>
  <Pages>4</Pages>
  <Words>1017</Words>
  <Characters>5628</Characters>
  <CharactersWithSpaces>6545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2025-11-25T10:05:00Z</dcterms:created>
  <dc:creator>DA210036</dc:creator>
  <dc:description/>
  <dc:language>cs-CZ</dc:language>
  <cp:lastModifiedBy/>
  <cp:lastPrinted>2025-11-26T10:26:24Z</cp:lastPrinted>
  <dcterms:modified xsi:type="dcterms:W3CDTF">2025-12-14T21:18:54Z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