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-12065</wp:posOffset>
            </wp:positionH>
            <wp:positionV relativeFrom="paragraph">
              <wp:posOffset>-230505</wp:posOffset>
            </wp:positionV>
            <wp:extent cx="983615" cy="98361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7" t="-177" r="-177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/>
        <w:t>bec Bítovčice</w:t>
        <w:br/>
        <w:t>Zastupitelstvo obce Bítovčice</w:t>
      </w:r>
    </w:p>
    <w:p>
      <w:pPr>
        <w:pStyle w:val="Nzev"/>
        <w:bidi w:val="0"/>
        <w:rPr/>
      </w:pPr>
      <w:r>
        <w:rPr/>
        <w:t xml:space="preserve">Obecně závazná vyhláška obce Bítovčice </w:t>
      </w:r>
      <w:r>
        <w:rPr/>
        <w:t>č. 1/2023</w:t>
      </w:r>
      <w:r>
        <w:rPr/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Bítovčice se na svém zasedání dne 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Bítovčice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500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30. dubna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a úlevy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se v obci dlouhodobě nezdržuje, přičemž se za tu dobu považuje nejméně 6 měsíců v příslušném kalendářním roce,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 xml:space="preserve">má trvalý pobyt na </w:t>
      </w:r>
      <w:r>
        <w:rPr/>
        <w:t>O</w:t>
      </w:r>
      <w:r>
        <w:rPr/>
        <w:t>becním úřadě v Bítovčicích,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děti v kalendářním roce ve kterém se narodí.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Úleva se poskytuje osobě,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studentem a to do konce kalendářního roku, ve kterém dosáhnou věku 26 let, pokud jsou ubytováni v místě studia mimo obec,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držitelem průkazu ZTP ZTP/P podle zvláštního právního předpisu,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starší 80 let a to od počátku kalendářního roku, ve kterém tohoto věku dosáhli , ve výši 300 Kč.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 xml:space="preserve">Zrušuje se obecně závazná vyhláška č. 1/2021, </w:t>
      </w:r>
      <w:r>
        <w:rPr/>
        <w:t>O</w:t>
      </w:r>
      <w:r>
        <w:rPr/>
        <w:t xml:space="preserve"> místním poplatku za obecní systém odpadového hospodářství , ze dne 1. ledna 2022.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p>
      <w:pPr>
        <w:pStyle w:val="Odstavec"/>
        <w:bidi w:val="0"/>
        <w:rPr/>
      </w:pPr>
      <w:r>
        <w:rPr/>
      </w:r>
    </w:p>
    <w:tbl>
      <w:tblPr>
        <w:tblW w:w="964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rPr/>
            </w:pPr>
            <w:r>
              <w:rPr/>
              <w:t>Eva Bendová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rPr/>
            </w:pPr>
            <w:r>
              <w:rPr/>
              <w:t>Petr |Buš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LibreOffice/6.4.3.2$Windows_X86_64 LibreOffice_project/747b5d0ebf89f41c860ec2a39efd7cb15b54f2d8</Application>
  <Pages>3</Pages>
  <Words>960</Words>
  <CharactersWithSpaces>6005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2023-12-06T15:01:13Z</dcterms:modified>
  <cp:revision>3</cp:revision>
  <dc:subject/>
  <dc:title/>
</cp:coreProperties>
</file>