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zev"/>
        <w:bidi w:val="0"/>
        <w:spacing w:before="240" w:after="120"/>
        <w:rPr/>
      </w:pPr>
      <w:r>
        <w:drawing>
          <wp:anchor behindDoc="0" distT="0" distB="0" distL="114935" distR="114935" simplePos="0" locked="0" layoutInCell="1" allowOverlap="1" relativeHeight="2">
            <wp:simplePos x="0" y="0"/>
            <wp:positionH relativeFrom="column">
              <wp:posOffset>-12065</wp:posOffset>
            </wp:positionH>
            <wp:positionV relativeFrom="paragraph">
              <wp:posOffset>-230505</wp:posOffset>
            </wp:positionV>
            <wp:extent cx="983615" cy="983615"/>
            <wp:effectExtent l="0" t="0" r="0" b="0"/>
            <wp:wrapNone/>
            <wp:docPr id="1" name="Obrázek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77" t="-177" r="-177" b="-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983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O</w:t>
      </w:r>
      <w:r>
        <w:rPr/>
        <w:t>bec Bítovčice</w:t>
        <w:br/>
        <w:t>Zastupitelstvo obce Bítovčice</w:t>
      </w:r>
    </w:p>
    <w:p>
      <w:pPr>
        <w:pStyle w:val="Nzev"/>
        <w:bidi w:val="0"/>
        <w:rPr/>
      </w:pPr>
      <w:r>
        <w:rPr/>
        <w:t xml:space="preserve">Obecně závazná vyhláška obce Bítovčice </w:t>
      </w:r>
      <w:r>
        <w:rPr/>
        <w:t>č. 1/2023</w:t>
      </w:r>
      <w:r>
        <w:rPr/>
        <w:br/>
        <w:t>o místním poplatku za obecní systém odpadového hospodářství</w:t>
      </w:r>
    </w:p>
    <w:p>
      <w:pPr>
        <w:pStyle w:val="UvodniVeta"/>
        <w:bidi w:val="0"/>
        <w:rPr/>
      </w:pPr>
      <w:r>
        <w:rPr/>
        <w:t>Zastupitelstvo obce Bítovčice se na svém zasedání dne 1.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>
      <w:pPr>
        <w:pStyle w:val="Nadpis2"/>
        <w:bidi w:val="0"/>
        <w:rPr/>
      </w:pPr>
      <w:r>
        <w:rPr/>
        <w:t>Čl. 1</w:t>
        <w:br/>
        <w:t>Úvodní ustanovení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Obec Bítovčice touto vyhláškou zavádí místní poplatek za obecní systém odpadového hospodářství (dále jen „poplatek“).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Poplatkovým obdobím poplatku je kalendářní rok</w:t>
      </w:r>
      <w:r>
        <w:rPr>
          <w:rStyle w:val="Ukotvenpoznmkypodarou"/>
        </w:rPr>
        <w:footnoteReference w:id="2"/>
      </w:r>
      <w:r>
        <w:rPr/>
        <w:t>.</w:t>
      </w:r>
    </w:p>
    <w:p>
      <w:pPr>
        <w:pStyle w:val="Odstavec"/>
        <w:numPr>
          <w:ilvl w:val="0"/>
          <w:numId w:val="2"/>
        </w:numPr>
        <w:bidi w:val="0"/>
        <w:rPr/>
      </w:pPr>
      <w:r>
        <w:rPr/>
        <w:t>Správcem poplatku je obecní úřad</w:t>
      </w:r>
      <w:r>
        <w:rPr>
          <w:rStyle w:val="Ukotvenpoznmkypodarou"/>
        </w:rPr>
        <w:footnoteReference w:id="3"/>
      </w:r>
      <w:r>
        <w:rPr/>
        <w:t>.</w:t>
      </w:r>
    </w:p>
    <w:p>
      <w:pPr>
        <w:pStyle w:val="Nadpis2"/>
        <w:bidi w:val="0"/>
        <w:rPr/>
      </w:pPr>
      <w:r>
        <w:rPr/>
        <w:t>Čl. 2</w:t>
        <w:br/>
        <w:t>Poplatník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Poplatníkem poplatku je</w:t>
      </w:r>
      <w:r>
        <w:rPr>
          <w:rStyle w:val="Ukotvenpoznmkypodarou"/>
        </w:rPr>
        <w:footnoteReference w:id="4"/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fyzická osoba přihlášená v obci</w:t>
      </w:r>
      <w:r>
        <w:rPr>
          <w:rStyle w:val="Ukotvenpoznmkypodarou"/>
        </w:rPr>
        <w:footnoteReference w:id="5"/>
      </w:r>
    </w:p>
    <w:p>
      <w:pPr>
        <w:pStyle w:val="Odstavec"/>
        <w:numPr>
          <w:ilvl w:val="1"/>
          <w:numId w:val="3"/>
        </w:numPr>
        <w:bidi w:val="0"/>
        <w:rPr/>
      </w:pPr>
      <w:r>
        <w:rPr/>
        <w:t>nebo vlastník nemovité věci zahrnující byt, rodinný dům nebo stavbu pro rodinnou rekreaci, ve které není přihlášená žádná fyzická osoba a která je umístěna na území obce.</w:t>
      </w:r>
    </w:p>
    <w:p>
      <w:pPr>
        <w:pStyle w:val="Odstavec"/>
        <w:numPr>
          <w:ilvl w:val="0"/>
          <w:numId w:val="3"/>
        </w:numPr>
        <w:bidi w:val="0"/>
        <w:rPr/>
      </w:pPr>
      <w:r>
        <w:rPr/>
        <w:t>Spoluvlastníci nemovité věci zahrnující byt, rodinný dům nebo stavbu pro rodinnou rekreaci jsou povinni plnit poplatkovou povinnost společně a nerozdílně</w:t>
      </w:r>
      <w:r>
        <w:rPr>
          <w:rStyle w:val="Ukotvenpoznmkypodarou"/>
        </w:rPr>
        <w:footnoteReference w:id="6"/>
      </w:r>
      <w:r>
        <w:rPr/>
        <w:t>.</w:t>
      </w:r>
    </w:p>
    <w:p>
      <w:pPr>
        <w:pStyle w:val="Nadpis2"/>
        <w:bidi w:val="0"/>
        <w:rPr/>
      </w:pPr>
      <w:r>
        <w:rPr/>
        <w:t>Čl. 3</w:t>
        <w:br/>
        <w:t>Ohlašovací povinnost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Poplatník je povinen podat správci poplatku ohlášení nejpozději do 15 dnů ode dne vzniku své poplatkové povinnosti; údaje uváděné v ohlášení upravuje zákon</w:t>
      </w:r>
      <w:r>
        <w:rPr>
          <w:rStyle w:val="Ukotvenpoznmkypodarou"/>
        </w:rPr>
        <w:footnoteReference w:id="7"/>
      </w:r>
      <w:r>
        <w:rPr/>
        <w:t>.</w:t>
      </w:r>
    </w:p>
    <w:p>
      <w:pPr>
        <w:pStyle w:val="Odstavec"/>
        <w:numPr>
          <w:ilvl w:val="0"/>
          <w:numId w:val="4"/>
        </w:numPr>
        <w:bidi w:val="0"/>
        <w:rPr/>
      </w:pPr>
      <w:r>
        <w:rPr/>
        <w:t>Dojde-li ke změně údajů uvedených v ohlášení, je poplatník povinen tuto změnu oznámit do 15 dnů ode dne, kdy nastala</w:t>
      </w:r>
      <w:r>
        <w:rPr>
          <w:rStyle w:val="Ukotvenpoznmkypodarou"/>
        </w:rPr>
        <w:footnoteReference w:id="8"/>
      </w:r>
      <w:r>
        <w:rPr/>
        <w:t>.</w:t>
      </w:r>
    </w:p>
    <w:p>
      <w:pPr>
        <w:pStyle w:val="Nadpis2"/>
        <w:bidi w:val="0"/>
        <w:rPr/>
      </w:pPr>
      <w:r>
        <w:rPr/>
        <w:t>Čl. 4</w:t>
        <w:br/>
        <w:t>Sazba poplatku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Sazba poplatku za kalendářní rok činí 500 Kč.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Poplatek se v případě, že poplatková povinnost vznikla z důvodu přihlášení fyzické osoby v obci, snižuje o jednu dvanáctinu za každý kalendářní měsíc, na jehož konci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není tato fyzická osoba přihlášena v obci,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nebo je tato fyzická osoba od poplatku osvobozena.</w:t>
      </w:r>
    </w:p>
    <w:p>
      <w:pPr>
        <w:pStyle w:val="Odstavec"/>
        <w:numPr>
          <w:ilvl w:val="0"/>
          <w:numId w:val="5"/>
        </w:numPr>
        <w:bidi w:val="0"/>
        <w:rPr/>
      </w:pPr>
      <w:r>
        <w:rPr/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je v této nemovité věci přihlášena alespoň 1 fyzická osoba,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poplatník nevlastní tuto nemovitou věc,</w:t>
      </w:r>
    </w:p>
    <w:p>
      <w:pPr>
        <w:pStyle w:val="Odstavec"/>
        <w:numPr>
          <w:ilvl w:val="1"/>
          <w:numId w:val="5"/>
        </w:numPr>
        <w:bidi w:val="0"/>
        <w:rPr/>
      </w:pPr>
      <w:r>
        <w:rPr/>
        <w:t>nebo je poplatník od poplatku osvobozen.</w:t>
      </w:r>
    </w:p>
    <w:p>
      <w:pPr>
        <w:pStyle w:val="Nadpis2"/>
        <w:bidi w:val="0"/>
        <w:rPr/>
      </w:pPr>
      <w:r>
        <w:rPr/>
        <w:t>Čl. 5</w:t>
        <w:br/>
        <w:t>Splatnost poplatku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Poplatek je splatný nejpozději do 30. dubna příslušného kalendářního roku.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Vznikne-li poplatková povinnost po datu splatnosti uvedeném v odstavci 1, je poplatek splatný nejpozději do patnáctého dne měsíce, který následuje po měsíci, ve kterém poplatková povinnost vznikla.</w:t>
      </w:r>
    </w:p>
    <w:p>
      <w:pPr>
        <w:pStyle w:val="Odstavec"/>
        <w:numPr>
          <w:ilvl w:val="0"/>
          <w:numId w:val="6"/>
        </w:numPr>
        <w:bidi w:val="0"/>
        <w:rPr/>
      </w:pPr>
      <w:r>
        <w:rPr/>
        <w:t>Lhůta splatnosti neskončí poplatníkovi dříve než lhůta pro podání ohlášení podle čl. 3 odst. 1 této vyhlášky.</w:t>
      </w:r>
    </w:p>
    <w:p>
      <w:pPr>
        <w:pStyle w:val="Nadpis2"/>
        <w:bidi w:val="0"/>
        <w:rPr/>
      </w:pPr>
      <w:r>
        <w:rPr/>
        <w:t>Čl. 6</w:t>
        <w:br/>
        <w:t xml:space="preserve"> Osvobození a úlevy 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Od poplatku je osvobozena osoba, které poplatková povinnost vznikla z důvodu přihlášení v obci a která je</w:t>
      </w:r>
      <w:r>
        <w:rPr>
          <w:rStyle w:val="Ukotvenpoznmkypodarou"/>
        </w:rPr>
        <w:footnoteReference w:id="9"/>
      </w:r>
      <w:r>
        <w:rPr/>
        <w:t>: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poplatníkem poplatku za odkládání komunálního odpadu z nemovité věci v jiné obci a má v této jiné obci bydliště,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do zařízení pro děti vyžadující okamžitou pomoc na základě rozhodnutí soudu, na žádost obecního úřadu obce s rozšířenou působností, zákonného zástupce dítěte nebo nezletilého,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umístěna v domově pro osoby se zdravotním postižením, domově pro seniory, domově se zvláštním režimem nebo v chráněném bydlení,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nebo na základě zákona omezena na osobní svobodě s výjimkou osoby vykonávající trest domácího vězení.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Od poplatku se osvobozuje osoba, které poplatková povinnost vznikla z důvodu přihlášení v obci a která: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se v obci dlouhodobě nezdržuje, přičemž se za tu dobu považuje nejméně 6 měsíců v příslušném kalendářním roce,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 xml:space="preserve">má trvalý pobyt na </w:t>
      </w:r>
      <w:r>
        <w:rPr/>
        <w:t>O</w:t>
      </w:r>
      <w:r>
        <w:rPr/>
        <w:t>becním úřadě v Bítovčicích,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děti v kalendářním roce ve kterém se narodí.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Úleva se poskytuje osobě, které poplatková povinnost vznikla z důvodu přihlášení v obci a která: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je studentem a to do konce kalendářního roku, ve kterém dosáhnou věku 26 let, pokud jsou ubytováni v místě studia mimo obec, ve výši 300 Kč,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je držitelem průkazu ZTP ZTP/P podle zvláštního právního předpisu, ve výši 300 Kč,</w:t>
      </w:r>
    </w:p>
    <w:p>
      <w:pPr>
        <w:pStyle w:val="Odstavec"/>
        <w:numPr>
          <w:ilvl w:val="1"/>
          <w:numId w:val="7"/>
        </w:numPr>
        <w:bidi w:val="0"/>
        <w:rPr/>
      </w:pPr>
      <w:r>
        <w:rPr/>
        <w:t>je starší 80 let a to od počátku kalendářního roku, ve kterém tohoto věku dosáhli , ve výši 300 Kč.</w:t>
      </w:r>
    </w:p>
    <w:p>
      <w:pPr>
        <w:pStyle w:val="Odstavec"/>
        <w:numPr>
          <w:ilvl w:val="0"/>
          <w:numId w:val="7"/>
        </w:numPr>
        <w:bidi w:val="0"/>
        <w:rPr/>
      </w:pPr>
      <w:r>
        <w:rPr/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Ukotvenpoznmkypodarou"/>
        </w:rPr>
        <w:footnoteReference w:id="10"/>
      </w:r>
      <w:r>
        <w:rPr/>
        <w:t>.</w:t>
      </w:r>
    </w:p>
    <w:p>
      <w:pPr>
        <w:pStyle w:val="Nadpis2"/>
        <w:bidi w:val="0"/>
        <w:rPr/>
      </w:pPr>
      <w:r>
        <w:rPr/>
        <w:t>Čl. 7</w:t>
        <w:br/>
        <w:t>Přechodné a zrušovací ustanovení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>Poplatkové povinnosti vzniklé před nabytím účinnosti této vyhlášky se posuzují podle dosavadních právních předpisů.</w:t>
      </w:r>
    </w:p>
    <w:p>
      <w:pPr>
        <w:pStyle w:val="Odstavec"/>
        <w:numPr>
          <w:ilvl w:val="0"/>
          <w:numId w:val="8"/>
        </w:numPr>
        <w:bidi w:val="0"/>
        <w:rPr/>
      </w:pPr>
      <w:r>
        <w:rPr/>
        <w:t xml:space="preserve">Zrušuje se obecně závazná vyhláška č. 1/2021, </w:t>
      </w:r>
      <w:r>
        <w:rPr/>
        <w:t>O</w:t>
      </w:r>
      <w:r>
        <w:rPr/>
        <w:t xml:space="preserve"> místním poplatku za obecní systém odpadového hospodářství , ze dne 1. ledna 2022.</w:t>
      </w:r>
    </w:p>
    <w:p>
      <w:pPr>
        <w:pStyle w:val="Nadpis2"/>
        <w:bidi w:val="0"/>
        <w:rPr/>
      </w:pPr>
      <w:r>
        <w:rPr/>
        <w:t>Čl. 8</w:t>
        <w:br/>
        <w:t>Účinnost</w:t>
      </w:r>
    </w:p>
    <w:p>
      <w:pPr>
        <w:pStyle w:val="Odstavec"/>
        <w:bidi w:val="0"/>
        <w:rPr/>
      </w:pPr>
      <w:r>
        <w:rPr/>
        <w:t>Tato vyhláška nabývá účinnosti dnem 1. ledna 2024.</w:t>
      </w:r>
    </w:p>
    <w:p>
      <w:pPr>
        <w:pStyle w:val="Odstavec"/>
        <w:bidi w:val="0"/>
        <w:rPr/>
      </w:pPr>
      <w:r>
        <w:rPr/>
      </w:r>
    </w:p>
    <w:tbl>
      <w:tblPr>
        <w:tblW w:w="9641" w:type="dxa"/>
        <w:jc w:val="left"/>
        <w:tblInd w:w="55" w:type="dxa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4820"/>
        <w:gridCol w:w="4821"/>
      </w:tblGrid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keepNext w:val="true"/>
              <w:bidi w:val="0"/>
              <w:rPr/>
            </w:pPr>
            <w:r>
              <w:rPr/>
              <w:t>Eva Bendová v. r.</w:t>
              <w:br/>
              <w:t xml:space="preserve"> starostka </w:t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rPr/>
            </w:pPr>
            <w:r>
              <w:rPr/>
              <w:t>Petr |Buš v. r.</w:t>
              <w:br/>
              <w:t xml:space="preserve"> místostarosta </w:t>
            </w:r>
          </w:p>
        </w:tc>
      </w:tr>
      <w:tr>
        <w:trPr>
          <w:trHeight w:val="1134" w:hRule="exact"/>
        </w:trPr>
        <w:tc>
          <w:tcPr>
            <w:tcW w:w="4820" w:type="dxa"/>
            <w:tcBorders/>
            <w:vAlign w:val="bottom"/>
          </w:tcPr>
          <w:p>
            <w:pPr>
              <w:pStyle w:val="PodpisovePole"/>
              <w:bidi w:val="0"/>
              <w:rPr/>
            </w:pPr>
            <w:r>
              <w:rPr/>
            </w:r>
          </w:p>
        </w:tc>
        <w:tc>
          <w:tcPr>
            <w:tcW w:w="4821" w:type="dxa"/>
            <w:tcBorders/>
            <w:vAlign w:val="bottom"/>
          </w:tcPr>
          <w:p>
            <w:pPr>
              <w:pStyle w:val="PodpisovePole"/>
              <w:bidi w:val="0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footnotePr>
        <w:numFmt w:val="decimal"/>
      </w:footnotePr>
      <w:type w:val="nextPage"/>
      <w:pgSz w:w="11909" w:h="16834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">
    <w:charset w:val="ee"/>
    <w:family w:val="swiss"/>
    <w:pitch w:val="variable"/>
  </w:font>
</w:fonts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10o odst. 1 zákona o místních poplatcích</w:t>
      </w:r>
    </w:p>
  </w:footnote>
  <w:footnote w:id="3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15 odst. 1 zákona o místních poplatcích</w:t>
      </w:r>
    </w:p>
  </w:footnote>
  <w:footnote w:id="4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10e zákona o místních poplatcích</w:t>
      </w:r>
    </w:p>
  </w:footnote>
  <w:footnote w:id="5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6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10p zákona o místních poplatcích</w:t>
      </w:r>
    </w:p>
  </w:footnote>
  <w:footnote w:id="7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1 a 2 zákona o místních poplatcích; v ohlášení poplatník uvede zejména své identifikační údaje a skutečnosti rozhodné pro stanovení poplatku</w:t>
      </w:r>
    </w:p>
  </w:footnote>
  <w:footnote w:id="8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4 zákona o místních poplatcích</w:t>
      </w:r>
    </w:p>
  </w:footnote>
  <w:footnote w:id="9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10g zákona o místních poplatcích</w:t>
      </w:r>
    </w:p>
  </w:footnote>
  <w:footnote w:id="10">
    <w:p>
      <w:pPr>
        <w:pStyle w:val="Poznmkapodarou"/>
        <w:suppressLineNumbers/>
        <w:bidi w:val="0"/>
        <w:ind w:left="170" w:right="0" w:hanging="170"/>
        <w:jc w:val="left"/>
        <w:rPr/>
      </w:pPr>
      <w:r>
        <w:rPr>
          <w:rStyle w:val="Znakypropoznmkupodarou"/>
        </w:rPr>
        <w:footnoteRef/>
      </w:r>
      <w:r>
        <w:rPr/>
        <w:tab/>
        <w:t>§ 14a odst. 6 zákona o 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Nadpis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Nadpis2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964"/>
        </w:tabs>
        <w:ind w:left="964" w:hanging="397"/>
      </w:pPr>
      <w:rPr/>
    </w:lvl>
    <w:lvl w:ilvl="2">
      <w:start w:val="1"/>
      <w:numFmt w:val="decimal"/>
      <w:lvlText w:val="(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(%7)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(%8)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(%9)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10"/>
  <w:defaultTabStop w:val="709"/>
  <w:autoHyphenation w:val="true"/>
  <w:footnotePr>
    <w:numFmt w:val="decimal"/>
    <w:footnote w:id="0"/>
    <w:footnote w:id="1"/>
  </w:footnotePr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ongti SC" w:cs="Arial Unicode MS"/>
      <w:color w:val="auto"/>
      <w:kern w:val="2"/>
      <w:sz w:val="24"/>
      <w:szCs w:val="24"/>
      <w:lang w:val="cs-CZ" w:eastAsia="zh-CN" w:bidi="hi-IN"/>
    </w:rPr>
  </w:style>
  <w:style w:type="paragraph" w:styleId="Nadpis1">
    <w:name w:val="Heading 1"/>
    <w:basedOn w:val="Nadpis"/>
    <w:next w:val="Tlotextu"/>
    <w:qFormat/>
    <w:pPr>
      <w:numPr>
        <w:ilvl w:val="0"/>
        <w:numId w:val="1"/>
      </w:num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Nadpis"/>
    <w:next w:val="Tlotextu"/>
    <w:qFormat/>
    <w:pPr>
      <w:numPr>
        <w:ilvl w:val="1"/>
        <w:numId w:val="1"/>
      </w:numPr>
      <w:spacing w:lineRule="auto" w:line="276" w:before="360" w:after="120"/>
      <w:jc w:val="center"/>
      <w:outlineLvl w:val="1"/>
    </w:pPr>
    <w:rPr>
      <w:b/>
      <w:bCs/>
      <w:sz w:val="24"/>
      <w:szCs w:val="24"/>
    </w:rPr>
  </w:style>
  <w:style w:type="character" w:styleId="Symbolyproslovn">
    <w:name w:val="Symboly pro číslování"/>
    <w:qFormat/>
    <w:rPr/>
  </w:style>
  <w:style w:type="character" w:styleId="Znakypropoznmkupodarou">
    <w:name w:val="Znaky pro poznámku pod čarou"/>
    <w:qFormat/>
    <w:rPr/>
  </w:style>
  <w:style w:type="character" w:styleId="Ukotvenpoznmkypodarou">
    <w:name w:val="Ukotvení poznámky pod čarou"/>
    <w:rPr>
      <w:vertAlign w:val="superscript"/>
    </w:rPr>
  </w:style>
  <w:style w:type="character" w:styleId="Ukotvenvysvtlivky">
    <w:name w:val="Ukotvení vysvětlivky"/>
    <w:rPr>
      <w:vertAlign w:val="superscript"/>
    </w:rPr>
  </w:style>
  <w:style w:type="character" w:styleId="Znakyprovysvtlivky">
    <w:name w:val="Znaky pro vysvětlivky"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Arial" w:hAnsi="Arial" w:eastAsia="PingFang SC" w:cs="Arial Unicode MS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>
      <w:rFonts w:ascii="Arial" w:hAnsi="Arial"/>
    </w:rPr>
  </w:style>
  <w:style w:type="paragraph" w:styleId="Seznam">
    <w:name w:val="List"/>
    <w:basedOn w:val="Tlotextu"/>
    <w:pPr/>
    <w:rPr>
      <w:rFonts w:cs="Arial Unicode M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 Unicode MS"/>
      <w:lang w:val="cs-CZ" w:eastAsia="zxx" w:bidi="zxx"/>
    </w:rPr>
  </w:style>
  <w:style w:type="paragraph" w:styleId="Nzev">
    <w:name w:val="Title"/>
    <w:basedOn w:val="Nadpis"/>
    <w:next w:val="Tlotextu"/>
    <w:qFormat/>
    <w:pPr>
      <w:jc w:val="center"/>
    </w:pPr>
    <w:rPr>
      <w:b/>
      <w:bCs/>
      <w:sz w:val="24"/>
      <w:szCs w:val="24"/>
    </w:rPr>
  </w:style>
  <w:style w:type="paragraph" w:styleId="UvodniVeta">
    <w:name w:val="UvodniVeta"/>
    <w:basedOn w:val="Tlotextu"/>
    <w:qFormat/>
    <w:pPr>
      <w:spacing w:before="62" w:after="120"/>
      <w:jc w:val="both"/>
    </w:pPr>
    <w:rPr>
      <w:sz w:val="22"/>
      <w:szCs w:val="22"/>
    </w:rPr>
  </w:style>
  <w:style w:type="paragraph" w:styleId="Odstavec">
    <w:name w:val="Odstavec"/>
    <w:basedOn w:val="Tlotextu"/>
    <w:qFormat/>
    <w:pPr>
      <w:tabs>
        <w:tab w:val="clear" w:pos="709"/>
        <w:tab w:val="left" w:pos="567" w:leader="none"/>
      </w:tabs>
      <w:spacing w:lineRule="auto" w:line="276" w:before="0" w:after="120"/>
      <w:ind w:left="0" w:right="0" w:hanging="0"/>
      <w:jc w:val="both"/>
    </w:pPr>
    <w:rPr>
      <w:sz w:val="22"/>
      <w:szCs w:val="22"/>
    </w:rPr>
  </w:style>
  <w:style w:type="paragraph" w:styleId="Obsahtabulky">
    <w:name w:val="Obsah tabulky"/>
    <w:basedOn w:val="Normal"/>
    <w:qFormat/>
    <w:pPr>
      <w:widowControl w:val="false"/>
      <w:suppressLineNumbers/>
    </w:pPr>
    <w:rPr/>
  </w:style>
  <w:style w:type="paragraph" w:styleId="PodpisovePole">
    <w:name w:val="PodpisovePole"/>
    <w:basedOn w:val="Obsahtabulky"/>
    <w:qFormat/>
    <w:pPr>
      <w:jc w:val="center"/>
    </w:pPr>
    <w:rPr>
      <w:rFonts w:ascii="Arial" w:hAnsi="Arial"/>
      <w:sz w:val="22"/>
      <w:szCs w:val="22"/>
    </w:rPr>
  </w:style>
  <w:style w:type="paragraph" w:styleId="Poznmkapodarou">
    <w:name w:val="Footnote Text"/>
    <w:basedOn w:val="Normal"/>
    <w:pPr>
      <w:suppressLineNumbers/>
      <w:ind w:left="170" w:right="0" w:hanging="170"/>
    </w:pPr>
    <w:rPr>
      <w:rFonts w:ascii="Arial" w:hAnsi="Arial"/>
      <w:sz w:val="18"/>
      <w:szCs w:val="18"/>
    </w:rPr>
  </w:style>
  <w:style w:type="paragraph" w:styleId="Nadpistabulky">
    <w:name w:val="Nadpis tabulky"/>
    <w:basedOn w:val="Obsahtabulky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60</TotalTime>
  <Application>LibreOffice/6.4.3.2$Windows_X86_64 LibreOffice_project/747b5d0ebf89f41c860ec2a39efd7cb15b54f2d8</Application>
  <Pages>3</Pages>
  <Words>960</Words>
  <CharactersWithSpaces>6005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cs-CZ</dc:language>
  <cp:lastModifiedBy/>
  <dcterms:modified xsi:type="dcterms:W3CDTF">2023-12-06T15:01:13Z</dcterms:modified>
  <cp:revision>3</cp:revision>
  <dc:subject/>
  <dc:title/>
</cp:coreProperties>
</file>