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drawing>
          <wp:anchor behindDoc="0" distT="0" distB="1905" distL="114300" distR="115570" simplePos="0" locked="0" layoutInCell="0" allowOverlap="1" relativeHeight="2">
            <wp:simplePos x="0" y="0"/>
            <wp:positionH relativeFrom="column">
              <wp:posOffset>2263775</wp:posOffset>
            </wp:positionH>
            <wp:positionV relativeFrom="paragraph">
              <wp:posOffset>-287020</wp:posOffset>
            </wp:positionV>
            <wp:extent cx="1230630" cy="894080"/>
            <wp:effectExtent l="0" t="0" r="0" b="0"/>
            <wp:wrapTopAndBottom/>
            <wp:docPr id="1" name="obrázky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uppressAutoHyphens w:val="true"/>
        <w:spacing w:lineRule="auto" w:line="276"/>
        <w:jc w:val="center"/>
        <w:textAlignment w:val="baseline"/>
        <w:rPr>
          <w:kern w:val="2"/>
        </w:rPr>
      </w:pPr>
      <w:r>
        <w:rPr>
          <w:rFonts w:cs="Calibri" w:ascii="Calibri" w:hAnsi="Calibri"/>
          <w:b/>
          <w:kern w:val="2"/>
          <w:sz w:val="32"/>
          <w:szCs w:val="32"/>
        </w:rPr>
        <w:t>OBEC VYSOKÁ</w:t>
      </w:r>
    </w:p>
    <w:p>
      <w:pPr>
        <w:pStyle w:val="Normal"/>
        <w:suppressAutoHyphens w:val="true"/>
        <w:spacing w:lineRule="auto" w:line="276"/>
        <w:jc w:val="center"/>
        <w:textAlignment w:val="baseline"/>
        <w:rPr>
          <w:kern w:val="2"/>
        </w:rPr>
      </w:pPr>
      <w:r>
        <w:rPr>
          <w:rFonts w:cs="Calibri" w:ascii="Calibri" w:hAnsi="Calibri"/>
          <w:b/>
          <w:kern w:val="2"/>
          <w:sz w:val="32"/>
          <w:szCs w:val="32"/>
        </w:rPr>
        <w:t>Zastupitelstvo obce Vysoká</w:t>
      </w:r>
    </w:p>
    <w:p>
      <w:pPr>
        <w:pStyle w:val="Normal"/>
        <w:suppressAutoHyphens w:val="true"/>
        <w:spacing w:lineRule="auto" w:line="276"/>
        <w:jc w:val="center"/>
        <w:textAlignment w:val="baseline"/>
        <w:rPr>
          <w:kern w:val="2"/>
        </w:rPr>
      </w:pPr>
      <w:r>
        <w:rPr>
          <w:rFonts w:cs="Calibri" w:ascii="Calibri" w:hAnsi="Calibri"/>
          <w:b/>
          <w:kern w:val="2"/>
          <w:sz w:val="32"/>
          <w:szCs w:val="32"/>
        </w:rPr>
        <w:t xml:space="preserve">Obecně závazná vyhláška obce Vysoká </w:t>
      </w:r>
    </w:p>
    <w:p>
      <w:pPr>
        <w:pStyle w:val="NormlnIMP"/>
        <w:spacing w:lineRule="auto" w:line="24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cs="Calibri" w:ascii="Calibri" w:hAnsi="Calibri"/>
          <w:b/>
          <w:color w:val="000000"/>
          <w:sz w:val="32"/>
          <w:szCs w:val="32"/>
        </w:rPr>
        <w:t>o stanovení obecního systému odpadového hospodářství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Indent2"/>
        <w:ind w:hanging="0" w:left="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Zastupitelstvo obce Vysoká se na svém zasedání dne </w:t>
      </w:r>
      <w:r>
        <w:rPr>
          <w:rFonts w:cs="Calibri" w:ascii="Calibri" w:hAnsi="Calibri"/>
          <w:sz w:val="22"/>
          <w:szCs w:val="22"/>
        </w:rPr>
        <w:t>6</w:t>
      </w:r>
      <w:r>
        <w:rPr>
          <w:rFonts w:cs="Calibri" w:ascii="Calibri" w:hAnsi="Calibri"/>
          <w:sz w:val="22"/>
          <w:szCs w:val="22"/>
        </w:rPr>
        <w:t>. 12. 202</w:t>
      </w:r>
      <w:r>
        <w:rPr>
          <w:rFonts w:cs="Calibri" w:ascii="Calibri" w:hAnsi="Calibri"/>
          <w:sz w:val="22"/>
          <w:szCs w:val="22"/>
        </w:rPr>
        <w:t>4</w:t>
      </w:r>
      <w:r>
        <w:rPr>
          <w:rFonts w:cs="Calibri" w:ascii="Calibri" w:hAnsi="Calibri"/>
          <w:sz w:val="22"/>
          <w:szCs w:val="22"/>
        </w:rPr>
        <w:t xml:space="preserve"> usnesením č. </w:t>
      </w:r>
      <w:r>
        <w:rPr>
          <w:rFonts w:cs="Calibri" w:ascii="Calibri" w:hAnsi="Calibri"/>
          <w:sz w:val="22"/>
          <w:szCs w:val="22"/>
        </w:rPr>
        <w:t>5</w:t>
      </w:r>
      <w:r>
        <w:rPr>
          <w:rFonts w:cs="Calibri" w:ascii="Calibri" w:hAnsi="Calibri"/>
          <w:sz w:val="22"/>
          <w:szCs w:val="22"/>
        </w:rPr>
        <w:t>.</w:t>
      </w:r>
      <w:r>
        <w:rPr>
          <w:rFonts w:cs="Calibri" w:ascii="Calibri" w:hAnsi="Calibri"/>
          <w:sz w:val="22"/>
          <w:szCs w:val="22"/>
        </w:rPr>
        <w:t>10</w:t>
      </w:r>
      <w:r>
        <w:rPr>
          <w:rFonts w:cs="Calibri" w:ascii="Calibri" w:hAnsi="Calibri"/>
          <w:sz w:val="22"/>
          <w:szCs w:val="22"/>
        </w:rPr>
        <w:t>/202</w:t>
      </w:r>
      <w:r>
        <w:rPr>
          <w:rFonts w:cs="Calibri" w:ascii="Calibri" w:hAnsi="Calibri"/>
          <w:sz w:val="22"/>
          <w:szCs w:val="22"/>
        </w:rPr>
        <w:t>4</w:t>
      </w:r>
      <w:r>
        <w:rPr>
          <w:rFonts w:cs="Calibri" w:ascii="Calibri" w:hAnsi="Calibri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cs="Calibri" w:ascii="Calibri" w:hAnsi="Calibri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ind w:hanging="426" w:left="0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Tato vyhláška stanovuje obecní systém odpadového hospodářství na území obce Vysoká.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  <w:t xml:space="preserve">  </w:t>
      </w:r>
      <w:r>
        <w:rPr>
          <w:rFonts w:cs="Calibri" w:ascii="Calibri" w:hAnsi="Calibri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Calibri" w:ascii="Calibri" w:hAnsi="Calibri"/>
          <w:sz w:val="22"/>
          <w:szCs w:val="22"/>
        </w:rPr>
        <w:footnoteReference w:id="2"/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Calibri" w:ascii="Calibri" w:hAnsi="Calibri"/>
          <w:sz w:val="22"/>
          <w:szCs w:val="22"/>
        </w:rPr>
        <w:footnoteReference w:id="3"/>
      </w:r>
      <w:r>
        <w:rPr>
          <w:rFonts w:cs="Calibri" w:ascii="Calibri" w:hAnsi="Calibri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</w:t>
      </w:r>
      <w:r>
        <w:rPr>
          <w:rFonts w:cs="Calibri" w:ascii="Calibri" w:hAnsi="Calibr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Osoby, předávající komunální odpad na místa určená obcí, jsou povinny odděleně soustřeďovat následující složky:</w:t>
      </w:r>
    </w:p>
    <w:p>
      <w:pPr>
        <w:pStyle w:val="Normal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Biologické odpady rostlinného původu</w:t>
      </w:r>
      <w:r>
        <w:rPr>
          <w:rFonts w:cs="Calibri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Plasty včetně PET lahví (dále také „plasty“),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  <w:bCs/>
          <w:i/>
          <w:i/>
          <w:color w:val="000000"/>
          <w:sz w:val="22"/>
          <w:szCs w:val="22"/>
        </w:rPr>
      </w:pPr>
      <w:r>
        <w:rPr>
          <w:rFonts w:cs="Calibri" w:ascii="Calibri" w:hAnsi="Calibri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Textil</w:t>
      </w:r>
    </w:p>
    <w:p>
      <w:pPr>
        <w:pStyle w:val="Normal"/>
        <w:numPr>
          <w:ilvl w:val="0"/>
          <w:numId w:val="5"/>
        </w:numPr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</w:r>
    </w:p>
    <w:p>
      <w:pPr>
        <w:pStyle w:val="BodyTextIndented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cs="Calibri" w:ascii="Calibri" w:hAnsi="Calibri"/>
          <w:sz w:val="22"/>
          <w:szCs w:val="22"/>
        </w:rPr>
        <w:t xml:space="preserve"> a i).</w:t>
      </w:r>
    </w:p>
    <w:p>
      <w:pPr>
        <w:pStyle w:val="BodyTextIndented"/>
        <w:ind w:hanging="0" w:left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Indented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Objemný odpad je takový odpad, který vzhledem ke svým rozměrům nemůže být umístěn do sběrných nádob.</w:t>
      </w:r>
    </w:p>
    <w:p>
      <w:pPr>
        <w:pStyle w:val="BodyTextIndented"/>
        <w:ind w:hanging="0" w:left="360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BodyTextIndented"/>
        <w:ind w:hanging="0" w:left="72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3</w:t>
      </w:r>
    </w:p>
    <w:p>
      <w:pPr>
        <w:pStyle w:val="Normal"/>
        <w:tabs>
          <w:tab w:val="clear" w:pos="708"/>
          <w:tab w:val="left" w:pos="927" w:leader="none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bCs/>
          <w:sz w:val="22"/>
          <w:szCs w:val="22"/>
        </w:rPr>
        <w:t>Soustřeďování složek komunálního odpadu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ind w:hanging="357" w:left="35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Papír, plasty, sklo, kovy, biologické odpady rostlinného původu, jedlé oleje a tuky </w:t>
      </w:r>
      <w:r>
        <w:rPr>
          <w:rFonts w:cs="Calibri" w:ascii="Calibri" w:hAnsi="Calibri"/>
          <w:sz w:val="22"/>
          <w:szCs w:val="22"/>
        </w:rPr>
        <w:t xml:space="preserve">a textil </w:t>
      </w:r>
      <w:r>
        <w:rPr>
          <w:rFonts w:cs="Calibri" w:ascii="Calibri" w:hAnsi="Calibri"/>
          <w:sz w:val="22"/>
          <w:szCs w:val="22"/>
        </w:rPr>
        <w:t xml:space="preserve">se soustřeďují do </w:t>
      </w:r>
      <w:r>
        <w:rPr>
          <w:rFonts w:cs="Calibri" w:ascii="Calibri" w:hAnsi="Calibri"/>
          <w:bCs/>
          <w:sz w:val="22"/>
          <w:szCs w:val="22"/>
        </w:rPr>
        <w:t>zvláštních sběrných nádob</w:t>
      </w:r>
      <w:r>
        <w:rPr>
          <w:rFonts w:cs="Calibri" w:ascii="Calibri" w:hAnsi="Calibri"/>
          <w:sz w:val="22"/>
          <w:szCs w:val="22"/>
        </w:rPr>
        <w:t xml:space="preserve">, kterými jsou barevně odlišené sběrné nádoby a kontejnery, velkoobjemový kontejner </w:t>
      </w:r>
      <w:r>
        <w:rPr>
          <w:rFonts w:cs="Calibri" w:ascii="Calibri" w:hAnsi="Calibri"/>
          <w:sz w:val="22"/>
          <w:szCs w:val="22"/>
        </w:rPr>
        <w:t>a dále pytle a kontejner sloužící pro sběr textilu v odpadovém režimu.</w:t>
      </w:r>
    </w:p>
    <w:p>
      <w:pPr>
        <w:pStyle w:val="Normal"/>
        <w:tabs>
          <w:tab w:val="clear" w:pos="708"/>
          <w:tab w:val="left" w:pos="927" w:leader="none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357" w:left="357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Zvláštní sběrné nádoby jsou umístěny na těchto stanovištích: Kontejnery na plasty, papír, sklo, kovy, nádoba na jedlé oleje a tuky </w:t>
      </w:r>
      <w:r>
        <w:rPr>
          <w:rFonts w:cs="Calibri" w:ascii="Calibri" w:hAnsi="Calibri"/>
          <w:sz w:val="22"/>
          <w:szCs w:val="22"/>
        </w:rPr>
        <w:t xml:space="preserve">a kontejner na textil </w:t>
      </w:r>
      <w:r>
        <w:rPr>
          <w:rFonts w:cs="Calibri" w:ascii="Calibri" w:hAnsi="Calibri"/>
          <w:sz w:val="22"/>
          <w:szCs w:val="22"/>
        </w:rPr>
        <w:t>na stanovišti za obecním úřadem, kontejnery na plasty, papír, sklo a biologické odpady rostlinného původu na stanovišti u hřiště.</w:t>
      </w:r>
    </w:p>
    <w:p>
      <w:pPr>
        <w:pStyle w:val="Normal"/>
        <w:numPr>
          <w:ilvl w:val="0"/>
          <w:numId w:val="0"/>
        </w:numPr>
        <w:ind w:firstLine="357"/>
        <w:jc w:val="both"/>
        <w:outlineLvl w:val="2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hanging="0" w:left="0"/>
        <w:textAlignment w:val="auto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Biologické odpady rostlinného původu, barva hnědá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cs="Calibri"/>
          <w:bCs/>
          <w:i/>
          <w:i/>
          <w:color w:val="FF0000"/>
        </w:rPr>
      </w:pPr>
      <w:r>
        <w:rPr>
          <w:rFonts w:cs="Calibri"/>
          <w:bCs/>
          <w:i/>
          <w:color w:val="000000"/>
        </w:rPr>
        <w:t xml:space="preserve">Plasty, PET lahve, barva </w:t>
      </w:r>
      <w:r>
        <w:rPr>
          <w:rFonts w:cs="Calibri"/>
          <w:bCs/>
          <w:i/>
        </w:rPr>
        <w:t>žlutá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cs="Calibri"/>
          <w:bCs/>
          <w:i/>
          <w:i/>
          <w:color w:val="000000"/>
        </w:rPr>
      </w:pPr>
      <w:r>
        <w:rPr>
          <w:rFonts w:cs="Calibri"/>
          <w:bCs/>
          <w:i/>
          <w:color w:val="000000"/>
        </w:rPr>
        <w:t>Sklo, barva zelená,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cs="Calibri"/>
          <w:bCs/>
          <w:i/>
          <w:i/>
        </w:rPr>
      </w:pPr>
      <w:r>
        <w:rPr>
          <w:rFonts w:cs="Calibri"/>
          <w:bCs/>
          <w:i/>
          <w:color w:val="000000"/>
        </w:rPr>
        <w:t>Kovy, velkoobjemový kontejner s nápisem kovy,</w:t>
      </w:r>
    </w:p>
    <w:p>
      <w:pPr>
        <w:pStyle w:val="Normal"/>
        <w:numPr>
          <w:ilvl w:val="0"/>
          <w:numId w:val="8"/>
        </w:numPr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Jedlé oleje a tuky, barva zelená s červeným víkem</w:t>
      </w:r>
      <w:r>
        <w:rPr>
          <w:rStyle w:val="FootnoteReference"/>
          <w:rFonts w:cs="Calibri" w:ascii="Calibri" w:hAnsi="Calibri"/>
          <w:i/>
          <w:iCs/>
          <w:sz w:val="22"/>
          <w:szCs w:val="22"/>
        </w:rPr>
        <w:footnoteReference w:id="4"/>
      </w:r>
      <w:r>
        <w:rPr>
          <w:rFonts w:cs="Calibri" w:ascii="Calibri" w:hAnsi="Calibri"/>
          <w:i/>
          <w:iCs/>
          <w:sz w:val="22"/>
          <w:szCs w:val="22"/>
        </w:rPr>
        <w:t>,</w:t>
      </w:r>
    </w:p>
    <w:p>
      <w:pPr>
        <w:pStyle w:val="Normal"/>
        <w:numPr>
          <w:ilvl w:val="0"/>
          <w:numId w:val="8"/>
        </w:numPr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  <w:t>Textil, barva bílá a označení Textil eco.</w:t>
      </w:r>
    </w:p>
    <w:p>
      <w:pPr>
        <w:pStyle w:val="Normal"/>
        <w:ind w:left="360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Heading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cs="Calibri" w:ascii="Calibri" w:hAnsi="Calibri"/>
          <w:b/>
          <w:bCs/>
          <w:sz w:val="22"/>
          <w:szCs w:val="22"/>
          <w:u w:val="none"/>
        </w:rPr>
      </w:r>
    </w:p>
    <w:p>
      <w:pPr>
        <w:pStyle w:val="Heading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cs="Calibri" w:ascii="Calibri" w:hAnsi="Calibri"/>
          <w:b/>
          <w:bCs/>
          <w:sz w:val="22"/>
          <w:szCs w:val="22"/>
          <w:u w:val="none"/>
        </w:rPr>
        <w:t>Čl. 4</w:t>
      </w:r>
    </w:p>
    <w:p>
      <w:pPr>
        <w:pStyle w:val="Heading2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cs="Calibri" w:ascii="Calibri" w:hAnsi="Calibri"/>
          <w:b/>
          <w:bCs/>
          <w:sz w:val="22"/>
          <w:szCs w:val="22"/>
          <w:u w:val="none"/>
        </w:rPr>
        <w:t xml:space="preserve"> </w:t>
      </w:r>
      <w:r>
        <w:rPr>
          <w:rFonts w:cs="Calibri" w:ascii="Calibri" w:hAnsi="Calibri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Calibri" w:hAnsi="Calibri" w:cs="Calibri"/>
          <w:i/>
          <w:i/>
          <w:iCs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Svoz nebezpečných složek komunálního odpadu je zajišťován </w:t>
      </w:r>
      <w:r>
        <w:rPr>
          <w:rFonts w:cs="Calibri" w:ascii="Calibri" w:hAnsi="Calibri"/>
          <w:iCs/>
          <w:sz w:val="22"/>
          <w:szCs w:val="22"/>
        </w:rPr>
        <w:t>minimálně 2x ročně</w:t>
      </w:r>
      <w:r>
        <w:rPr>
          <w:rFonts w:cs="Calibri" w:ascii="Calibri" w:hAnsi="Calibri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bookmarkStart w:id="0" w:name="_Hlk87891572"/>
      <w:r>
        <w:rPr>
          <w:rFonts w:cs="Calibri" w:ascii="Calibri" w:hAnsi="Calibri"/>
          <w:sz w:val="22"/>
          <w:szCs w:val="22"/>
        </w:rPr>
        <w:t>na obecním webu a na výlepových plochách.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  <w:bookmarkEnd w:id="0"/>
    </w:p>
    <w:p>
      <w:pPr>
        <w:pStyle w:val="Normal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 xml:space="preserve">Svoz objemného odpadu 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3"/>
        </w:numPr>
        <w:ind w:hanging="426" w:left="426"/>
        <w:jc w:val="both"/>
        <w:rPr/>
      </w:pPr>
      <w:r>
        <w:rPr>
          <w:rFonts w:cs="Calibri"/>
        </w:rPr>
        <w:t>Svoz objemného odpadu je zajišťován 1x ročně jeho odebíráním na předem vyhlášených přechodných stanovištích přímo do zvláštních sběrných nádob k tomuto účelu určených. Informace o svozu jsou zveřejňovány na obecním webu a na výlepových plochách.</w:t>
      </w:r>
    </w:p>
    <w:p>
      <w:pPr>
        <w:pStyle w:val="Normal"/>
        <w:numPr>
          <w:ilvl w:val="0"/>
          <w:numId w:val="13"/>
        </w:numPr>
        <w:ind w:hanging="360" w:left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1"/>
        </w:numPr>
        <w:ind w:hanging="426" w:left="426"/>
        <w:jc w:val="both"/>
        <w:rPr>
          <w:rFonts w:ascii="Calibri" w:hAnsi="Calibri" w:cs="Calibri"/>
          <w:strike/>
          <w:color w:val="00B0F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bCs/>
          <w:i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velkoobjemový kontejner umístěný na stanovišti u hřiště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Calibri" w:hAnsi="Calibri" w:cs="Calibri"/>
          <w:i/>
          <w:i/>
          <w:sz w:val="22"/>
          <w:szCs w:val="22"/>
        </w:rPr>
      </w:pPr>
      <w:r>
        <w:rPr>
          <w:rFonts w:cs="Calibri" w:ascii="Calibri" w:hAnsi="Calibri"/>
          <w:i/>
          <w:sz w:val="22"/>
          <w:szCs w:val="22"/>
        </w:rPr>
        <w:t>odpadkové koše,</w:t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Calibri" w:hAnsi="Calibri" w:cs="Calibri"/>
          <w:color w:val="00B0F0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  <w:t>Čl. 7</w:t>
      </w:r>
    </w:p>
    <w:p>
      <w:pPr>
        <w:pStyle w:val="Heading2"/>
        <w:jc w:val="center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Heading2"/>
        <w:jc w:val="center"/>
        <w:rPr>
          <w:rFonts w:cs="Arial"/>
          <w:i/>
          <w:i/>
          <w:color w:val="00B0F0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>
        <w:rPr>
          <w:rFonts w:cs="Arial" w:ascii="Calibri" w:hAnsi="Calibri"/>
          <w:sz w:val="22"/>
          <w:szCs w:val="22"/>
        </w:rPr>
        <w:t>a), b), c), d),</w:t>
      </w:r>
      <w:r>
        <w:rPr>
          <w:rFonts w:cs="Arial" w:ascii="Calibri" w:hAnsi="Calibri"/>
          <w:sz w:val="22"/>
          <w:szCs w:val="22"/>
        </w:rPr>
        <w:t xml:space="preserve"> předávají </w:t>
      </w:r>
      <w:r>
        <w:rPr>
          <w:rFonts w:cs="Arial" w:ascii="Calibri" w:hAnsi="Calibri"/>
          <w:sz w:val="22"/>
          <w:szCs w:val="22"/>
        </w:rPr>
        <w:t xml:space="preserve">do zvláštních sběrných nádob na stanovišti u hřiště, komunální odpad dle čl. 2 odst. 1 písm. </w:t>
      </w:r>
      <w:r>
        <w:rPr>
          <w:rFonts w:cs="Arial" w:ascii="Calibri" w:hAnsi="Calibri"/>
          <w:sz w:val="22"/>
          <w:szCs w:val="22"/>
        </w:rPr>
        <w:t>e) do kontejneru na kovy na stanovišti za obecním úřadem, komunální odpad dle čl. 2 odst. 1 písm. j) do velkoobjemového kontejneru na stanovišti u hřiště.</w:t>
      </w:r>
    </w:p>
    <w:p>
      <w:pPr>
        <w:pStyle w:val="Normal"/>
        <w:ind w:left="284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Výše úhrady za zapojení do obecního systému se stanoví </w:t>
      </w:r>
      <w:r>
        <w:rPr>
          <w:rFonts w:cs="Arial" w:ascii="Calibri" w:hAnsi="Calibri"/>
          <w:sz w:val="22"/>
          <w:szCs w:val="22"/>
        </w:rPr>
        <w:t>2 000,- Kč/rok.</w:t>
      </w:r>
    </w:p>
    <w:p>
      <w:pPr>
        <w:pStyle w:val="Normal"/>
        <w:ind w:left="284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numPr>
          <w:ilvl w:val="0"/>
          <w:numId w:val="10"/>
        </w:numPr>
        <w:ind w:hanging="284" w:left="284"/>
        <w:jc w:val="both"/>
        <w:rPr>
          <w:rFonts w:ascii="Calibri" w:hAnsi="Calibr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w:t xml:space="preserve">Úhrada se vybírá </w:t>
      </w:r>
      <w:r>
        <w:rPr>
          <w:rFonts w:cs="Arial" w:ascii="Calibri" w:hAnsi="Calibri"/>
          <w:sz w:val="22"/>
          <w:szCs w:val="22"/>
        </w:rPr>
        <w:t>jednorázově</w:t>
      </w:r>
      <w:r>
        <w:rPr>
          <w:rFonts w:cs="Arial" w:ascii="Calibri" w:hAnsi="Calibri"/>
          <w:color w:val="00B0F0"/>
          <w:sz w:val="22"/>
          <w:szCs w:val="22"/>
        </w:rPr>
        <w:t xml:space="preserve"> </w:t>
      </w:r>
      <w:r>
        <w:rPr>
          <w:rFonts w:cs="Arial" w:ascii="Calibri" w:hAnsi="Calibri"/>
          <w:sz w:val="22"/>
          <w:szCs w:val="22"/>
        </w:rPr>
        <w:t xml:space="preserve">a to </w:t>
      </w:r>
      <w:r>
        <w:rPr>
          <w:rFonts w:cs="Arial" w:ascii="Calibri" w:hAnsi="Calibri"/>
          <w:sz w:val="22"/>
          <w:szCs w:val="22"/>
        </w:rPr>
        <w:t>převodem na běžný účet obce.</w:t>
      </w:r>
    </w:p>
    <w:p>
      <w:pPr>
        <w:pStyle w:val="Normal"/>
        <w:numPr>
          <w:ilvl w:val="0"/>
          <w:numId w:val="0"/>
        </w:numPr>
        <w:ind w:hanging="0" w:left="284"/>
        <w:jc w:val="both"/>
        <w:rPr>
          <w:rFonts w:cs="Arial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2"/>
          <w:szCs w:val="22"/>
        </w:rPr>
        <w:t xml:space="preserve">Čl. </w:t>
      </w:r>
      <w:r>
        <w:rPr>
          <w:rFonts w:cs="Arial" w:ascii="Calibri" w:hAnsi="Calibri"/>
          <w:b/>
          <w:sz w:val="22"/>
          <w:szCs w:val="22"/>
        </w:rPr>
        <w:t>8</w:t>
      </w:r>
    </w:p>
    <w:p>
      <w:pPr>
        <w:pStyle w:val="Heading2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Heading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>
        <w:rPr>
          <w:rFonts w:cs="Arial" w:ascii="Calibri" w:hAnsi="Calibri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708"/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>a</w:t>
      </w:r>
      <w:r>
        <w:rPr>
          <w:rFonts w:cs="Arial" w:ascii="Calibri" w:hAnsi="Calibri"/>
          <w:sz w:val="22"/>
          <w:szCs w:val="22"/>
        </w:rPr>
        <w:t>) oděvy a textil</w:t>
      </w:r>
    </w:p>
    <w:p>
      <w:pPr>
        <w:pStyle w:val="Normal"/>
        <w:tabs>
          <w:tab w:val="clear" w:pos="708"/>
          <w:tab w:val="left" w:pos="709" w:leader="none"/>
        </w:tabs>
        <w:ind w:left="708"/>
        <w:jc w:val="both"/>
        <w:rPr>
          <w:rFonts w:cs="Arial"/>
          <w:sz w:val="22"/>
          <w:szCs w:val="22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 xml:space="preserve">Movité věci uvedené v odst. 1 písm. a) </w:t>
      </w:r>
      <w:r>
        <w:rPr>
          <w:rFonts w:cs="Arial" w:ascii="Calibri" w:hAnsi="Calibri"/>
          <w:sz w:val="22"/>
          <w:szCs w:val="22"/>
        </w:rPr>
        <w:t>lze odkládat v předem ohlášených termínech v budově obecního úřadu Vysoká.</w:t>
      </w:r>
    </w:p>
    <w:p>
      <w:pPr>
        <w:pStyle w:val="Normal"/>
        <w:tabs>
          <w:tab w:val="clear" w:pos="708"/>
          <w:tab w:val="left" w:pos="709" w:leader="none"/>
        </w:tabs>
        <w:ind w:left="36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>Movitá věc musí být předána v takovém stavu, aby bylo možné její opětovné použití.</w:t>
      </w:r>
    </w:p>
    <w:p>
      <w:pPr>
        <w:pStyle w:val="Normal"/>
        <w:rPr>
          <w:rFonts w:ascii="Calibri" w:hAnsi="Calibri" w:cs="Arial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2"/>
          <w:szCs w:val="22"/>
        </w:rPr>
        <w:t xml:space="preserve">Čl. </w:t>
      </w:r>
      <w:r>
        <w:rPr>
          <w:rFonts w:cs="Arial" w:ascii="Calibri" w:hAnsi="Calibri"/>
          <w:b/>
          <w:sz w:val="22"/>
          <w:szCs w:val="22"/>
        </w:rPr>
        <w:t>9</w:t>
      </w:r>
    </w:p>
    <w:p>
      <w:pPr>
        <w:pStyle w:val="Heading2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>
      <w:pPr>
        <w:pStyle w:val="Heading2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sz w:val="22"/>
          <w:szCs w:val="22"/>
          <w:u w:val="none"/>
        </w:rPr>
        <w:t>(zpětný odběr)</w:t>
      </w:r>
    </w:p>
    <w:p>
      <w:pPr>
        <w:pStyle w:val="Heading2"/>
        <w:jc w:val="center"/>
        <w:rPr>
          <w:rFonts w:ascii="Calibri" w:hAnsi="Calibri" w:cs="Arial"/>
          <w:b/>
          <w:bCs/>
          <w:sz w:val="22"/>
          <w:szCs w:val="22"/>
          <w:u w:val="none"/>
        </w:rPr>
      </w:pPr>
      <w:r>
        <w:rPr>
          <w:rFonts w:cs="Arial" w:ascii="Calibri" w:hAnsi="Calibri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 xml:space="preserve">Obec v rámci služby pro výrobce nakládá s těmito výrobky s ukončenou životností: </w:t>
      </w:r>
    </w:p>
    <w:p>
      <w:pPr>
        <w:pStyle w:val="Normal"/>
        <w:ind w:left="720"/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>a) baterie a akumulátory</w:t>
      </w:r>
    </w:p>
    <w:p>
      <w:pPr>
        <w:pStyle w:val="Normal"/>
        <w:ind w:left="720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numPr>
          <w:ilvl w:val="0"/>
          <w:numId w:val="12"/>
        </w:numPr>
        <w:ind w:hanging="426" w:left="426"/>
        <w:jc w:val="both"/>
        <w:rPr>
          <w:rFonts w:ascii="Calibri" w:hAnsi="Calibri"/>
        </w:rPr>
      </w:pPr>
      <w:r>
        <w:rPr>
          <w:rFonts w:cs="Arial" w:ascii="Calibri" w:hAnsi="Calibri"/>
          <w:sz w:val="22"/>
          <w:szCs w:val="22"/>
        </w:rPr>
        <w:t xml:space="preserve">Výrobky s ukončenou životností uvedené v odst. 1 lze předávat v </w:t>
      </w:r>
      <w:r>
        <w:rPr>
          <w:rFonts w:cs="Arial" w:ascii="Calibri" w:hAnsi="Calibri"/>
          <w:sz w:val="22"/>
          <w:szCs w:val="22"/>
        </w:rPr>
        <w:t>budově obecního úřadu Vysoká.</w:t>
      </w:r>
    </w:p>
    <w:p>
      <w:pPr>
        <w:pStyle w:val="Normal"/>
        <w:numPr>
          <w:ilvl w:val="0"/>
          <w:numId w:val="0"/>
        </w:numPr>
        <w:ind w:hanging="0" w:left="426"/>
        <w:jc w:val="both"/>
        <w:rPr>
          <w:rFonts w:cs="Arial"/>
          <w:sz w:val="22"/>
          <w:szCs w:val="22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Čl. </w:t>
      </w:r>
      <w:r>
        <w:rPr>
          <w:rFonts w:cs="Calibri" w:ascii="Calibri" w:hAnsi="Calibri"/>
          <w:b/>
          <w:sz w:val="22"/>
          <w:szCs w:val="22"/>
        </w:rPr>
        <w:t>10</w:t>
      </w:r>
    </w:p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Závěrečná ustanovení</w:t>
      </w:r>
    </w:p>
    <w:p>
      <w:pPr>
        <w:pStyle w:val="Normal"/>
        <w:ind w:left="360"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cs="Calibri" w:ascii="Calibri" w:hAnsi="Calibri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Nabytím účinnosti této vyhlášky se zrušuje obecně závazná vyhláška obce </w:t>
        <w:br/>
        <w:t xml:space="preserve">č. </w:t>
      </w:r>
      <w:r>
        <w:rPr>
          <w:rFonts w:cs="Calibri" w:ascii="Calibri" w:hAnsi="Calibri"/>
          <w:sz w:val="22"/>
          <w:szCs w:val="22"/>
        </w:rPr>
        <w:t>3</w:t>
      </w:r>
      <w:r>
        <w:rPr>
          <w:rFonts w:cs="Calibri" w:ascii="Calibri" w:hAnsi="Calibri"/>
          <w:sz w:val="22"/>
          <w:szCs w:val="22"/>
        </w:rPr>
        <w:t>/20</w:t>
      </w:r>
      <w:r>
        <w:rPr>
          <w:rFonts w:cs="Calibri" w:ascii="Calibri" w:hAnsi="Calibri"/>
          <w:sz w:val="22"/>
          <w:szCs w:val="22"/>
        </w:rPr>
        <w:t>21</w:t>
      </w:r>
      <w:r>
        <w:rPr>
          <w:rFonts w:cs="Calibri" w:ascii="Calibri" w:hAnsi="Calibri"/>
          <w:sz w:val="22"/>
          <w:szCs w:val="22"/>
        </w:rPr>
        <w:t xml:space="preserve">, o stanovení systému shromažďování, sběru, přepravy, třídění, využívání a odstraňování komunálních odpadů na území obce Vysoká, ze dne </w:t>
      </w:r>
      <w:r>
        <w:rPr>
          <w:rFonts w:cs="Calibri" w:ascii="Calibri" w:hAnsi="Calibri"/>
          <w:sz w:val="22"/>
          <w:szCs w:val="22"/>
        </w:rPr>
        <w:t>3. 12.2021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Tato vyhláška nabývá účinnosti dnem 1. 1. 202</w:t>
      </w:r>
      <w:r>
        <w:rPr>
          <w:rFonts w:cs="Calibri" w:ascii="Calibri" w:hAnsi="Calibri"/>
          <w:sz w:val="22"/>
          <w:szCs w:val="22"/>
        </w:rPr>
        <w:t>5</w:t>
      </w:r>
      <w:r>
        <w:rPr>
          <w:rFonts w:cs="Calibri" w:ascii="Calibri" w:hAnsi="Calibri"/>
          <w:i/>
          <w:sz w:val="22"/>
          <w:szCs w:val="22"/>
        </w:rPr>
        <w:t>.</w:t>
      </w:r>
    </w:p>
    <w:p>
      <w:pPr>
        <w:pStyle w:val="ListParagrap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</w:tabs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ind w:firstLine="708"/>
        <w:rPr>
          <w:rFonts w:ascii="Calibri" w:hAnsi="Calibri" w:cs="Calibri"/>
          <w:bCs/>
          <w:i/>
          <w:i/>
          <w:sz w:val="22"/>
          <w:szCs w:val="22"/>
        </w:rPr>
      </w:pPr>
      <w:r>
        <w:rPr>
          <w:rFonts w:cs="Calibri" w:ascii="Calibri" w:hAnsi="Calibri"/>
          <w:bCs/>
          <w:i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……………………</w:t>
      </w:r>
      <w:r>
        <w:rPr>
          <w:rFonts w:cs="Calibri" w:ascii="Calibri" w:hAnsi="Calibri"/>
          <w:bCs/>
          <w:sz w:val="22"/>
          <w:szCs w:val="22"/>
        </w:rPr>
        <w:t>...……………….</w:t>
        <w:tab/>
        <w:t xml:space="preserve"> </w:t>
        <w:tab/>
        <w:t xml:space="preserve">                             …………………………………………………….</w:t>
      </w:r>
    </w:p>
    <w:p>
      <w:pPr>
        <w:pStyle w:val="Normal"/>
        <w:ind w:firstLine="708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i/>
          <w:sz w:val="22"/>
          <w:szCs w:val="22"/>
        </w:rPr>
        <w:t xml:space="preserve">Dušan Hovorka           </w:t>
      </w:r>
      <w:r>
        <w:rPr>
          <w:rFonts w:cs="Calibri" w:ascii="Calibri" w:hAnsi="Calibri"/>
          <w:bCs/>
          <w:sz w:val="22"/>
          <w:szCs w:val="22"/>
        </w:rPr>
        <w:tab/>
        <w:tab/>
        <w:tab/>
        <w:tab/>
        <w:t xml:space="preserve">                            </w:t>
        <w:tab/>
        <w:t xml:space="preserve">  Milan Křeček</w:t>
      </w:r>
    </w:p>
    <w:p>
      <w:pPr>
        <w:pStyle w:val="Normal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místostarosta</w:t>
        <w:tab/>
        <w:tab/>
        <w:tab/>
        <w:tab/>
        <w:tab/>
        <w:tab/>
        <w:t xml:space="preserve">                starosta</w:t>
      </w:r>
    </w:p>
    <w:p>
      <w:pPr>
        <w:pStyle w:val="Normal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Normal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Normal"/>
        <w:ind w:left="708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</w:r>
    </w:p>
    <w:p>
      <w:pPr>
        <w:pStyle w:val="Normal"/>
        <w:ind w:left="708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Calibri" w:hAnsi="Calibri" w:cs="Calibri" w:asciiTheme="minorHAnsi" w:cstheme="minorHAnsi" w:hAnsiTheme="minorHAnsi"/>
        </w:rPr>
      </w:pPr>
      <w:r>
        <w:rPr>
          <w:rStyle w:val="Znakypropoznmkupodarou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§ 61 zákona o odpadech</w:t>
      </w:r>
    </w:p>
  </w:footnote>
  <w:footnote w:id="3">
    <w:p>
      <w:pPr>
        <w:pStyle w:val="FootnoteText"/>
        <w:rPr>
          <w:rFonts w:ascii="Calibri" w:hAnsi="Calibri" w:cs="Calibri" w:asciiTheme="minorHAnsi" w:cstheme="minorHAnsi" w:hAnsiTheme="minorHAnsi"/>
        </w:rPr>
      </w:pPr>
      <w:r>
        <w:rPr>
          <w:rStyle w:val="Znakypropoznmkupodarou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§ 60 zákona o odpadech</w:t>
      </w:r>
    </w:p>
  </w:footnote>
  <w:footnote w:id="4">
    <w:p>
      <w:pPr>
        <w:pStyle w:val="FootnoteText"/>
        <w:rPr>
          <w:rFonts w:ascii="Calibri" w:hAnsi="Calibri" w:cs="Calibri" w:asciiTheme="minorHAnsi" w:cstheme="minorHAnsi" w:hAnsiTheme="minorHAnsi"/>
        </w:rPr>
      </w:pPr>
      <w:r>
        <w:rPr>
          <w:rStyle w:val="Znakypropoznmkupodarou"/>
        </w:rPr>
        <w:footnoteRef/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Jedlé oleje a tuky se odkládají do vyhrazené sběrné nádoby v uzavřených PET lahvích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ed">
    <w:name w:val="Body Text, Indented"/>
    <w:basedOn w:val="Normal"/>
    <w:qFormat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C9DA6-AC50-4A09-97F5-F6DDDFED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LibreOffice/24.2.5.2$Windows_X86_64 LibreOffice_project/bffef4ea93e59bebbeaf7f431bb02b1a39ee8a59</Application>
  <AppVersion>15.0000</AppVersion>
  <Pages>4</Pages>
  <Words>998</Words>
  <Characters>5427</Characters>
  <CharactersWithSpaces>6424</CharactersWithSpaces>
  <Paragraphs>85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2021-11-30T20:35:00Z</dcterms:created>
  <dc:creator>DA210036</dc:creator>
  <dc:description/>
  <dc:language>cs-CZ</dc:language>
  <cp:lastModifiedBy/>
  <cp:lastPrinted>2020-12-03T09:05:00Z</cp:lastPrinted>
  <dcterms:modified xsi:type="dcterms:W3CDTF">2024-12-27T12:11:31Z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