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6JVFCA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="00BF0DAF">
                    <w:rPr>
                      <w:rFonts w:ascii="CKGinis" w:hAnsi="CKGinis"/>
                      <w:bCs/>
                      <w:sz w:val="72"/>
                    </w:rPr>
                    <w:t>MVCRX06JVFCA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6JVFCA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="00BF0DAF">
                    <w:rPr>
                      <w:rFonts w:ascii="Arial" w:hAnsi="Arial"/>
                      <w:bCs/>
                      <w:sz w:val="20"/>
                      <w:szCs w:val="20"/>
                    </w:rPr>
                    <w:t>MVCRX06JVFCA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6639D0"/>
        </w:tc>
      </w:tr>
    </w:tbl>
    <w:bookmarkStart w:id="2" w:name="orj_ofic_nazev"/>
    <w:p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F0DAF">
        <w:rPr>
          <w:bCs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F0DAF">
        <w:rPr>
          <w:bCs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BF0DAF">
        <w:rPr>
          <w:bCs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BF0DAF">
        <w:rPr>
          <w:bCs/>
        </w:rPr>
        <w:t>Praha 4</w:t>
      </w:r>
      <w:r w:rsidR="0042290C">
        <w:rPr>
          <w:bCs/>
        </w:rPr>
        <w:fldChar w:fldCharType="end"/>
      </w:r>
      <w:bookmarkEnd w:id="4"/>
    </w:p>
    <w:p w:rsidR="00774381" w:rsidRDefault="00774381" w:rsidP="008321E0">
      <w:pPr>
        <w:pStyle w:val="Text"/>
      </w:pPr>
    </w:p>
    <w:p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13672-8/ODK-2022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BF0DAF">
        <w:t>MV-113672-8/ODK-2022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:rsidR="00774381" w:rsidRPr="008321E0" w:rsidRDefault="00581EF1" w:rsidP="00617F04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BF0DAF">
              <w:rPr>
                <w:bCs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End w:id="7"/>
            <w:r w:rsidR="00617F04">
              <w:fldChar w:fldCharType="begin">
                <w:ffData>
                  <w:name w:val="ssl_dat_podt"/>
                  <w:enabled/>
                  <w:calcOnExit w:val="0"/>
                  <w:textInput>
                    <w:type w:val="date"/>
                    <w:default w:val="20. července 2022"/>
                    <w:format w:val="d. MMMM yyyy"/>
                  </w:textInput>
                </w:ffData>
              </w:fldChar>
            </w:r>
            <w:bookmarkStart w:id="8" w:name="ssl_dat_podt"/>
            <w:r w:rsidR="00617F04">
              <w:instrText xml:space="preserve"> FORMTEXT </w:instrText>
            </w:r>
            <w:r w:rsidR="00617F04">
              <w:fldChar w:fldCharType="separate"/>
            </w:r>
            <w:r w:rsidR="00617F04">
              <w:rPr>
                <w:noProof/>
              </w:rPr>
              <w:t>20. července 2022</w:t>
            </w:r>
            <w:r w:rsidR="00617F04">
              <w:fldChar w:fldCharType="end"/>
            </w:r>
            <w:bookmarkEnd w:id="8"/>
          </w:p>
        </w:tc>
      </w:tr>
      <w:tr w:rsidR="00774381" w:rsidRPr="008321E0">
        <w:tc>
          <w:tcPr>
            <w:tcW w:w="3600" w:type="dxa"/>
          </w:tcPr>
          <w:p w:rsidR="00774381" w:rsidRPr="008321E0" w:rsidRDefault="00774381" w:rsidP="008321E0">
            <w:pPr>
              <w:pStyle w:val="Text"/>
            </w:pPr>
          </w:p>
        </w:tc>
      </w:tr>
      <w:tr w:rsidR="00774381" w:rsidRPr="008321E0">
        <w:tc>
          <w:tcPr>
            <w:tcW w:w="3600" w:type="dxa"/>
          </w:tcPr>
          <w:p w:rsidR="00774381" w:rsidRPr="008321E0" w:rsidRDefault="00774381" w:rsidP="008321E0">
            <w:pPr>
              <w:pStyle w:val="Text"/>
              <w:rPr>
                <w:highlight w:val="red"/>
              </w:rPr>
            </w:pPr>
          </w:p>
        </w:tc>
      </w:tr>
    </w:tbl>
    <w:p w:rsidR="00077C66" w:rsidRDefault="00077C66" w:rsidP="00077C66">
      <w:pPr>
        <w:spacing w:line="300" w:lineRule="exact"/>
        <w:ind w:firstLine="53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Ministerstvo vnitra, odbor veřejné správy, dozoru a kontroly, jako správní orgán příslušný dle § 123 odst. 1 zákona č. 128/2000 Sb., o obcích (obecní zřízení), ve znění pozdějších předpisů, ve správním řízení s účastníkem řízení, kterým </w:t>
      </w:r>
      <w:r w:rsidRPr="00D47A7F">
        <w:rPr>
          <w:rFonts w:ascii="Arial" w:hAnsi="Arial"/>
        </w:rPr>
        <w:t xml:space="preserve">je </w:t>
      </w:r>
      <w:r w:rsidRPr="009F0279">
        <w:rPr>
          <w:rFonts w:ascii="Arial" w:hAnsi="Arial"/>
        </w:rPr>
        <w:t>městys Frymburk, se sídlem Náměstí 78, 382 79 Frymburk</w:t>
      </w:r>
      <w:r>
        <w:rPr>
          <w:rFonts w:ascii="Arial" w:hAnsi="Arial"/>
          <w:bCs/>
        </w:rPr>
        <w:t xml:space="preserve">, ve věci pozastavení </w:t>
      </w:r>
      <w:r w:rsidRPr="0057612D">
        <w:rPr>
          <w:rFonts w:ascii="Arial" w:hAnsi="Arial"/>
        </w:rPr>
        <w:t xml:space="preserve">účinnosti </w:t>
      </w:r>
      <w:r w:rsidR="009B3ABE">
        <w:rPr>
          <w:rFonts w:ascii="Arial" w:hAnsi="Arial"/>
        </w:rPr>
        <w:t>čl.</w:t>
      </w:r>
      <w:r>
        <w:rPr>
          <w:rFonts w:ascii="Arial" w:hAnsi="Arial"/>
        </w:rPr>
        <w:t xml:space="preserve"> 7 odst. 3 a 4 </w:t>
      </w:r>
      <w:r w:rsidRPr="0057612D">
        <w:rPr>
          <w:rFonts w:ascii="Arial" w:hAnsi="Arial" w:cs="Arial"/>
        </w:rPr>
        <w:t xml:space="preserve">obecně závazné vyhlášky </w:t>
      </w:r>
      <w:r w:rsidRPr="00B96304">
        <w:rPr>
          <w:rFonts w:ascii="Arial" w:hAnsi="Arial"/>
        </w:rPr>
        <w:t>č. 6/2021 o místním poplatku za obecní systém odpadového hospodářství</w:t>
      </w:r>
      <w:r>
        <w:rPr>
          <w:rFonts w:ascii="Arial" w:hAnsi="Arial" w:cs="Arial"/>
        </w:rPr>
        <w:t xml:space="preserve"> pro možný rozpor se zákonem, vydává toto</w:t>
      </w:r>
    </w:p>
    <w:p w:rsidR="00077C66" w:rsidRDefault="00077C66" w:rsidP="00077C66">
      <w:pPr>
        <w:spacing w:line="300" w:lineRule="exact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O Z H O D N U T Í:</w:t>
      </w:r>
    </w:p>
    <w:p w:rsidR="00077C66" w:rsidRDefault="00077C66" w:rsidP="00077C66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077C66" w:rsidRDefault="00077C66" w:rsidP="00077C66">
      <w:pPr>
        <w:spacing w:line="300" w:lineRule="exact"/>
        <w:jc w:val="both"/>
        <w:rPr>
          <w:rFonts w:ascii="Arial" w:hAnsi="Arial" w:cs="Arial"/>
        </w:rPr>
      </w:pPr>
    </w:p>
    <w:p w:rsidR="00077C66" w:rsidRDefault="009B3ABE" w:rsidP="00077C66">
      <w:pPr>
        <w:numPr>
          <w:ilvl w:val="0"/>
          <w:numId w:val="1"/>
        </w:numPr>
        <w:tabs>
          <w:tab w:val="num" w:pos="720"/>
        </w:tabs>
        <w:spacing w:line="300" w:lineRule="exac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Účinnost čl.</w:t>
      </w:r>
      <w:r w:rsidR="00077C66">
        <w:rPr>
          <w:rFonts w:ascii="Arial" w:hAnsi="Arial" w:cs="Arial"/>
        </w:rPr>
        <w:t xml:space="preserve"> 7 odst. 3 a 4 </w:t>
      </w:r>
      <w:r w:rsidR="00077C66" w:rsidRPr="0057612D">
        <w:rPr>
          <w:rFonts w:ascii="Arial" w:hAnsi="Arial" w:cs="Arial"/>
        </w:rPr>
        <w:t xml:space="preserve">obecně závazné vyhlášky </w:t>
      </w:r>
      <w:r w:rsidR="00077C66" w:rsidRPr="00B96304">
        <w:rPr>
          <w:rFonts w:ascii="Arial" w:hAnsi="Arial"/>
        </w:rPr>
        <w:t>č. 6/2021 o místním poplatku za obecní systém odpadového hospodářství</w:t>
      </w:r>
      <w:r w:rsidR="00077C66">
        <w:rPr>
          <w:rFonts w:ascii="Arial" w:hAnsi="Arial" w:cs="Arial"/>
          <w:b/>
        </w:rPr>
        <w:t xml:space="preserve"> se</w:t>
      </w:r>
      <w:r w:rsidR="00077C66">
        <w:rPr>
          <w:rFonts w:ascii="Arial" w:hAnsi="Arial" w:cs="Arial"/>
        </w:rPr>
        <w:t xml:space="preserve"> dle § </w:t>
      </w:r>
      <w:r w:rsidR="00077C66">
        <w:rPr>
          <w:rFonts w:ascii="Arial" w:eastAsia="MS Mincho" w:hAnsi="Arial" w:cs="Arial"/>
        </w:rPr>
        <w:t xml:space="preserve">123 odst. 1 zákona </w:t>
      </w:r>
      <w:r w:rsidR="000801FB">
        <w:rPr>
          <w:rFonts w:ascii="Arial" w:eastAsia="MS Mincho" w:hAnsi="Arial" w:cs="Arial"/>
        </w:rPr>
        <w:br/>
      </w:r>
      <w:r w:rsidR="00077C66">
        <w:rPr>
          <w:rFonts w:ascii="Arial" w:hAnsi="Arial" w:cs="Arial"/>
        </w:rPr>
        <w:t>č. 128/2000 Sb., o obcích (obecní zřízení), ve znění pozdějších předpisů</w:t>
      </w:r>
      <w:r w:rsidR="00077C66">
        <w:rPr>
          <w:rFonts w:ascii="Arial" w:hAnsi="Arial" w:cs="Arial"/>
          <w:i/>
          <w:iCs/>
        </w:rPr>
        <w:t>,</w:t>
      </w:r>
      <w:r w:rsidR="00077C66">
        <w:rPr>
          <w:rFonts w:ascii="Arial" w:hAnsi="Arial" w:cs="Arial"/>
        </w:rPr>
        <w:t xml:space="preserve"> </w:t>
      </w:r>
      <w:r w:rsidR="00077C66">
        <w:rPr>
          <w:rFonts w:ascii="Arial" w:hAnsi="Arial" w:cs="Arial"/>
          <w:b/>
        </w:rPr>
        <w:t>pozastavuje</w:t>
      </w:r>
      <w:r w:rsidR="00077C66">
        <w:rPr>
          <w:rFonts w:ascii="Arial" w:hAnsi="Arial" w:cs="Arial"/>
        </w:rPr>
        <w:t>.</w:t>
      </w:r>
    </w:p>
    <w:p w:rsidR="00077C66" w:rsidRDefault="00077C66" w:rsidP="00077C66">
      <w:pPr>
        <w:spacing w:line="300" w:lineRule="exact"/>
        <w:jc w:val="both"/>
        <w:rPr>
          <w:rFonts w:ascii="Arial" w:hAnsi="Arial" w:cs="Arial"/>
          <w:b/>
        </w:rPr>
      </w:pPr>
    </w:p>
    <w:p w:rsidR="00077C66" w:rsidRDefault="00077C66" w:rsidP="00077C66">
      <w:pPr>
        <w:numPr>
          <w:ilvl w:val="0"/>
          <w:numId w:val="1"/>
        </w:numPr>
        <w:tabs>
          <w:tab w:val="num" w:pos="720"/>
        </w:tabs>
        <w:spacing w:line="300" w:lineRule="exact"/>
        <w:ind w:left="720"/>
        <w:jc w:val="both"/>
        <w:rPr>
          <w:rFonts w:ascii="Arial" w:hAnsi="Arial" w:cs="Arial"/>
          <w:b/>
        </w:rPr>
      </w:pPr>
      <w:r>
        <w:rPr>
          <w:rFonts w:ascii="Arial" w:eastAsia="MS Mincho" w:hAnsi="Arial" w:cs="Arial"/>
        </w:rPr>
        <w:t xml:space="preserve">Účastníkovi řízení </w:t>
      </w:r>
      <w:r>
        <w:rPr>
          <w:rFonts w:ascii="Arial" w:eastAsia="MS Mincho" w:hAnsi="Arial" w:cs="Arial"/>
          <w:b/>
        </w:rPr>
        <w:t>se</w:t>
      </w:r>
      <w:r>
        <w:rPr>
          <w:rFonts w:ascii="Arial" w:eastAsia="MS Mincho" w:hAnsi="Arial" w:cs="Arial"/>
        </w:rPr>
        <w:t xml:space="preserve"> dle § 123 odst. 1 zákona </w:t>
      </w:r>
      <w:r>
        <w:rPr>
          <w:rFonts w:ascii="Arial" w:hAnsi="Arial" w:cs="Arial"/>
        </w:rPr>
        <w:t>č. 128/2000 Sb., o obcích (obecní zřízení), ve znění pozdějších předpisů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Cs/>
        </w:rPr>
        <w:t xml:space="preserve"> </w:t>
      </w:r>
      <w:r>
        <w:rPr>
          <w:rFonts w:ascii="Arial" w:eastAsia="MS Mincho" w:hAnsi="Arial" w:cs="Arial"/>
          <w:b/>
          <w:iCs/>
        </w:rPr>
        <w:t>stanovuje</w:t>
      </w:r>
      <w:r>
        <w:rPr>
          <w:rFonts w:ascii="Arial" w:eastAsia="MS Mincho" w:hAnsi="Arial" w:cs="Arial"/>
          <w:b/>
          <w:i/>
          <w:iCs/>
        </w:rPr>
        <w:t xml:space="preserve"> </w:t>
      </w:r>
      <w:r>
        <w:rPr>
          <w:rFonts w:ascii="Arial" w:eastAsia="MS Mincho" w:hAnsi="Arial" w:cs="Arial"/>
          <w:b/>
        </w:rPr>
        <w:t>ke zjednání nápravy lhůta 15 dnů od doručení tohoto rozhodnutí</w:t>
      </w:r>
      <w:r>
        <w:rPr>
          <w:rFonts w:ascii="Arial" w:eastAsia="MS Mincho" w:hAnsi="Arial" w:cs="Arial"/>
        </w:rPr>
        <w:t xml:space="preserve">. </w:t>
      </w:r>
      <w:r>
        <w:rPr>
          <w:rFonts w:ascii="Arial" w:hAnsi="Arial" w:cs="Arial"/>
          <w:b/>
        </w:rPr>
        <w:t xml:space="preserve">  </w:t>
      </w:r>
    </w:p>
    <w:p w:rsidR="00077C66" w:rsidRDefault="00077C66" w:rsidP="00077C66">
      <w:pPr>
        <w:spacing w:line="300" w:lineRule="exact"/>
        <w:jc w:val="both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ů v o d n ě n í:</w:t>
      </w:r>
    </w:p>
    <w:p w:rsidR="00077C66" w:rsidRDefault="00077C66" w:rsidP="00077C66">
      <w:pPr>
        <w:spacing w:line="300" w:lineRule="exact"/>
        <w:jc w:val="center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Rekapitulace postupu Ministerstva vnitra</w:t>
      </w:r>
    </w:p>
    <w:p w:rsidR="00077C66" w:rsidRDefault="00077C66" w:rsidP="00077C66">
      <w:pPr>
        <w:spacing w:line="300" w:lineRule="exact"/>
        <w:jc w:val="center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Zastupitelstvo městyse Frymburk na svém zasedání konaném dne </w:t>
      </w:r>
      <w:r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 xml:space="preserve">29. listopadu 2021 </w:t>
      </w:r>
      <w:r>
        <w:rPr>
          <w:rFonts w:ascii="Arial" w:hAnsi="Arial" w:cs="Arial"/>
        </w:rPr>
        <w:t xml:space="preserve">schválilo obecně závaznou vyhlášku </w:t>
      </w:r>
      <w:r w:rsidRPr="00B96304">
        <w:rPr>
          <w:rFonts w:ascii="Arial" w:hAnsi="Arial"/>
        </w:rPr>
        <w:t>č. 6/2021 o místním poplatku za obecní systém odpadového hospodářství</w:t>
      </w:r>
      <w:r>
        <w:rPr>
          <w:rFonts w:ascii="Arial" w:hAnsi="Arial"/>
        </w:rPr>
        <w:t xml:space="preserve"> (dále jen „vyhláška“).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Ze zápisu ze zasedání Zastupitelstva městyse Frymburk konaného dne 29. listopadu 2021 bylo </w:t>
      </w:r>
      <w:r>
        <w:rPr>
          <w:rFonts w:ascii="Arial" w:hAnsi="Arial" w:cs="Arial"/>
          <w:color w:val="000000"/>
        </w:rPr>
        <w:lastRenderedPageBreak/>
        <w:t xml:space="preserve">zjištěno, že napadaná vyhláška byla přijata na tomto zasedání zastupitelstva městyse způsobem odpovídajícím zákonu </w:t>
      </w:r>
      <w:r>
        <w:rPr>
          <w:rFonts w:ascii="Arial" w:hAnsi="Arial" w:cs="Arial"/>
        </w:rPr>
        <w:t>č. 128/2000 Sb., o obcích (obecní zřízení), ve znění pozdějších předpisů (dále jen „zákon o obcích“)</w:t>
      </w:r>
      <w:r>
        <w:rPr>
          <w:rFonts w:ascii="Arial" w:hAnsi="Arial" w:cs="Arial"/>
          <w:color w:val="000000"/>
        </w:rPr>
        <w:t xml:space="preserve">, když pro její vydání hlasovala nadpoloviční většina všech členů zastupitelstva městyse, tj. 7 členů zastupitelstva městyse z celkového počtu 9 členů. </w:t>
      </w:r>
      <w:r>
        <w:rPr>
          <w:rFonts w:ascii="Arial" w:hAnsi="Arial" w:cs="Arial"/>
        </w:rPr>
        <w:t>V souladu s § 12 zákona o obcích byla vyhláška dne 2. prosince 2021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vyvěšena na úřední desce úřadu městyse, odkud byla dne </w:t>
      </w:r>
      <w:r w:rsidR="00AD72D8">
        <w:rPr>
          <w:rFonts w:ascii="Arial" w:hAnsi="Arial" w:cs="Arial"/>
        </w:rPr>
        <w:br/>
      </w:r>
      <w:r>
        <w:rPr>
          <w:rFonts w:ascii="Arial" w:hAnsi="Arial" w:cs="Arial"/>
        </w:rPr>
        <w:t xml:space="preserve">18. prosince 2021, tedy po řádném uplynutí 15denní lhůty, sejmuta. Předmětná vyhláška nabyla účinnosti dne </w:t>
      </w:r>
      <w:r>
        <w:rPr>
          <w:rFonts w:ascii="Arial" w:hAnsi="Arial" w:cs="Arial"/>
          <w:color w:val="000000"/>
        </w:rPr>
        <w:t>1. ledna 2022.</w:t>
      </w:r>
    </w:p>
    <w:p w:rsidR="00077C66" w:rsidRDefault="00077C66" w:rsidP="00077C66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77C66" w:rsidRDefault="00077C66" w:rsidP="00077C66">
      <w:pPr>
        <w:spacing w:line="300" w:lineRule="exac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Ministerstvo vnitra upozornilo městys Frymburk (dále též „účastník řízení“)  na nezákonnost vyhlášky jeho sdělením č. j. MV-118203-24/ODK-2020 ze dne </w:t>
      </w:r>
      <w:r w:rsidR="00252C0B">
        <w:rPr>
          <w:rFonts w:ascii="Arial" w:hAnsi="Arial" w:cs="Arial"/>
        </w:rPr>
        <w:br/>
      </w:r>
      <w:r>
        <w:rPr>
          <w:rFonts w:ascii="Arial" w:hAnsi="Arial" w:cs="Arial"/>
        </w:rPr>
        <w:t>16. března 2022 poté, co si v souvislosti s obdrženým podnětem vyžádalo od městyse zaslání vyhlášky spolu s dalšími podklady a vyjádření městyse</w:t>
      </w:r>
      <w:r w:rsidR="00AD72D8">
        <w:rPr>
          <w:rFonts w:ascii="Arial" w:hAnsi="Arial" w:cs="Arial"/>
        </w:rPr>
        <w:t xml:space="preserve"> k úlevám poskytnutým v článku 7 odst. 3 a 4 vyhlášky.</w:t>
      </w:r>
    </w:p>
    <w:p w:rsidR="00077C66" w:rsidRDefault="00077C66" w:rsidP="00077C66">
      <w:pPr>
        <w:spacing w:line="300" w:lineRule="exact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</w:p>
    <w:p w:rsidR="00077C66" w:rsidRDefault="00077C66" w:rsidP="00077C66">
      <w:pPr>
        <w:spacing w:line="300" w:lineRule="exact"/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</w:rPr>
        <w:t xml:space="preserve">Vzhledem k tomu, že účastník řízení na uvedené upozornění nijak nereagoval, Ministerstvo vnitra dopisem č. j. MV-118203-26/ODK-2020 ze dne 11. dubna 2022 v souladu s § 123 odst. 1 zákona o obcích vyzvalo městys Frymburk ke zjednání nápravy vyhlášky. Výzva byla účastníku řízení doručena dne 12. dubna 2022. Účastníku řízení bylo touto výzvou sděleno, že Ministerstvo vnitra shledalo možný rozpor </w:t>
      </w:r>
      <w:r w:rsidR="009B3ABE">
        <w:rPr>
          <w:rFonts w:ascii="Arial" w:hAnsi="Arial"/>
        </w:rPr>
        <w:t>čl.</w:t>
      </w:r>
      <w:r>
        <w:rPr>
          <w:rFonts w:ascii="Arial" w:hAnsi="Arial"/>
        </w:rPr>
        <w:t xml:space="preserve"> 7 odst. 3 a 4 vyhlášky </w:t>
      </w:r>
      <w:r w:rsidRPr="00FD6D9D">
        <w:rPr>
          <w:rFonts w:ascii="Arial" w:hAnsi="Arial"/>
        </w:rPr>
        <w:t xml:space="preserve">se </w:t>
      </w:r>
      <w:r w:rsidR="00FD6D9D" w:rsidRPr="00FD6D9D">
        <w:rPr>
          <w:rFonts w:ascii="Arial" w:hAnsi="Arial"/>
        </w:rPr>
        <w:t>zákonem.</w:t>
      </w:r>
    </w:p>
    <w:p w:rsidR="00077C66" w:rsidRDefault="00077C66" w:rsidP="00077C66">
      <w:pPr>
        <w:spacing w:line="300" w:lineRule="exact"/>
        <w:jc w:val="both"/>
        <w:rPr>
          <w:rFonts w:ascii="Arial" w:hAnsi="Arial"/>
          <w:color w:val="000000"/>
        </w:rPr>
      </w:pPr>
    </w:p>
    <w:p w:rsidR="00077C66" w:rsidRDefault="00077C66" w:rsidP="00077C66">
      <w:pPr>
        <w:spacing w:line="300" w:lineRule="exact"/>
        <w:ind w:firstLine="426"/>
        <w:jc w:val="both"/>
        <w:rPr>
          <w:rFonts w:ascii="Arial" w:hAnsi="Arial" w:cs="Arial"/>
        </w:rPr>
      </w:pPr>
      <w:r>
        <w:rPr>
          <w:rFonts w:ascii="Arial" w:hAnsi="Arial"/>
          <w:color w:val="000000"/>
        </w:rPr>
        <w:tab/>
        <w:t xml:space="preserve">Jelikož účastník řízení ve stanovené lhůtě nápravu vyhlášky nezjednal, zahájilo </w:t>
      </w:r>
      <w:r>
        <w:rPr>
          <w:rFonts w:ascii="Arial" w:hAnsi="Arial" w:cs="Arial"/>
        </w:rPr>
        <w:t xml:space="preserve">Ministerstvo vnitra s městysem Frymburk správní řízení ve věci pozastavení účinnosti </w:t>
      </w:r>
      <w:r w:rsidR="009B3ABE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7 odst. 3 a 4 vyhlášky. Toto správní řízení bylo zahájeno dnem 23. června 2022 doručením oznámení o zahájení správního řízení č. j. MV-113672-1/ODK-2022 ze dne 22. června 2022 městysi Frymburk. Součástí oznámení bylo rovněž poučení účastníka řízení o jeho procesních právech a povinnostech.</w:t>
      </w:r>
    </w:p>
    <w:p w:rsidR="00077C66" w:rsidRDefault="00077C66" w:rsidP="00077C66">
      <w:pPr>
        <w:pStyle w:val="Zkladntext"/>
        <w:spacing w:after="0" w:line="300" w:lineRule="exact"/>
        <w:ind w:firstLine="708"/>
        <w:jc w:val="both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Dopisem Ministerstva vnitra č. j. MV-113672-7/ODK-2022</w:t>
      </w:r>
      <w:r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br/>
        <w:t>29. června 2022 byl účastník řízení v termínu do 15. července 2022 vyzván k uplatnění svého práva vyjádřit v řízení své stanovisko a vyjádřit se k podkladům pro rozhodnutí. Současně byl vyzván k uplatnění svého práva nahlédnout do spisu. Účastník řízení svých uvedených práv nevyužil.</w:t>
      </w:r>
    </w:p>
    <w:p w:rsidR="00077C66" w:rsidRDefault="00077C66" w:rsidP="00077C66">
      <w:pPr>
        <w:ind w:firstLine="708"/>
        <w:jc w:val="both"/>
        <w:rPr>
          <w:rFonts w:ascii="Arial" w:hAnsi="Arial" w:cs="Arial"/>
        </w:rPr>
      </w:pPr>
    </w:p>
    <w:p w:rsidR="00FD6D9D" w:rsidRDefault="00FD6D9D" w:rsidP="00077C66">
      <w:pPr>
        <w:ind w:firstLine="708"/>
        <w:jc w:val="both"/>
        <w:rPr>
          <w:rFonts w:ascii="Arial" w:hAnsi="Arial" w:cs="Arial"/>
        </w:rPr>
      </w:pP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Posouzení vyhlášky</w:t>
      </w:r>
    </w:p>
    <w:p w:rsidR="00077C66" w:rsidRDefault="00077C66" w:rsidP="00077C66">
      <w:pPr>
        <w:spacing w:line="300" w:lineRule="exact"/>
        <w:jc w:val="both"/>
        <w:rPr>
          <w:rFonts w:ascii="Arial" w:hAnsi="Arial" w:cs="Arial"/>
        </w:rPr>
      </w:pPr>
    </w:p>
    <w:p w:rsidR="009B3ABE" w:rsidRPr="004E57A2" w:rsidRDefault="009B3ABE" w:rsidP="009B3ABE">
      <w:pPr>
        <w:spacing w:line="300" w:lineRule="exac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4E57A2">
        <w:rPr>
          <w:rFonts w:ascii="Arial" w:hAnsi="Arial" w:cs="Arial"/>
        </w:rPr>
        <w:t>le § 123 odst. 1 zákona o obcích pozastaví Ministerstvo</w:t>
      </w:r>
      <w:r>
        <w:rPr>
          <w:rFonts w:ascii="Arial" w:hAnsi="Arial" w:cs="Arial"/>
        </w:rPr>
        <w:t xml:space="preserve"> vnitra</w:t>
      </w:r>
      <w:r w:rsidRPr="004E57A2">
        <w:rPr>
          <w:rFonts w:ascii="Arial" w:hAnsi="Arial" w:cs="Arial"/>
        </w:rPr>
        <w:t xml:space="preserve"> účinnost obecně závazné vyhlášky</w:t>
      </w:r>
      <w:r>
        <w:rPr>
          <w:rFonts w:ascii="Arial" w:hAnsi="Arial" w:cs="Arial"/>
        </w:rPr>
        <w:t>,</w:t>
      </w:r>
      <w:r w:rsidRPr="004E5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která je </w:t>
      </w:r>
      <w:r w:rsidRPr="004E57A2">
        <w:rPr>
          <w:rFonts w:ascii="Arial" w:hAnsi="Arial" w:cs="Arial"/>
        </w:rPr>
        <w:t xml:space="preserve">v rozporu se zákonem. Při posuzování souladu obecně </w:t>
      </w:r>
      <w:r w:rsidRPr="004E57A2">
        <w:rPr>
          <w:rFonts w:ascii="Arial" w:hAnsi="Arial" w:cs="Arial"/>
        </w:rPr>
        <w:lastRenderedPageBreak/>
        <w:t>závazné vyhlášky se zákonem Ministerstvo</w:t>
      </w:r>
      <w:r>
        <w:rPr>
          <w:rFonts w:ascii="Arial" w:hAnsi="Arial" w:cs="Arial"/>
        </w:rPr>
        <w:t xml:space="preserve"> vnitra</w:t>
      </w:r>
      <w:r w:rsidRPr="004E57A2">
        <w:rPr>
          <w:rFonts w:ascii="Arial" w:hAnsi="Arial" w:cs="Arial"/>
        </w:rPr>
        <w:t xml:space="preserve"> zohledňuje, zda byla vydána orgánem k tomu zmocněným, tj. zastupitelstvem</w:t>
      </w:r>
      <w:r>
        <w:rPr>
          <w:rFonts w:ascii="Arial" w:hAnsi="Arial" w:cs="Arial"/>
        </w:rPr>
        <w:t xml:space="preserve"> obce</w:t>
      </w:r>
      <w:r w:rsidRPr="004E57A2">
        <w:rPr>
          <w:rFonts w:ascii="Arial" w:hAnsi="Arial" w:cs="Arial"/>
        </w:rPr>
        <w:t>, dále zda se obec při jejím vydání nepohybovala mimo meze jí svěřené věcné působnosti, zda obec</w:t>
      </w:r>
      <w:r>
        <w:rPr>
          <w:rFonts w:ascii="Arial" w:hAnsi="Arial" w:cs="Arial"/>
        </w:rPr>
        <w:t xml:space="preserve"> </w:t>
      </w:r>
      <w:r w:rsidRPr="004E57A2">
        <w:rPr>
          <w:rFonts w:ascii="Arial" w:hAnsi="Arial" w:cs="Arial"/>
        </w:rPr>
        <w:t>nezneužila zákonem svěřenou působnost a konečně</w:t>
      </w:r>
      <w:r>
        <w:rPr>
          <w:rFonts w:ascii="Arial" w:hAnsi="Arial" w:cs="Arial"/>
        </w:rPr>
        <w:t>,</w:t>
      </w:r>
      <w:r w:rsidRPr="004E57A2">
        <w:rPr>
          <w:rFonts w:ascii="Arial" w:hAnsi="Arial" w:cs="Arial"/>
        </w:rPr>
        <w:t xml:space="preserve"> zda není obecně závazná vyhláška nezákonná pro svoji „nerozumnost“.</w:t>
      </w:r>
    </w:p>
    <w:p w:rsidR="009B3ABE" w:rsidRDefault="009B3ABE" w:rsidP="00077C66">
      <w:pPr>
        <w:pStyle w:val="Zkladntextodsazen"/>
        <w:spacing w:line="300" w:lineRule="exact"/>
        <w:ind w:firstLine="708"/>
        <w:rPr>
          <w:rFonts w:ascii="Arial" w:hAnsi="Arial" w:cs="Arial"/>
        </w:rPr>
      </w:pPr>
    </w:p>
    <w:p w:rsidR="00077C66" w:rsidRDefault="00077C66" w:rsidP="00077C66">
      <w:pPr>
        <w:pStyle w:val="Zkladntextodsazen"/>
        <w:spacing w:line="300" w:lineRule="exac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Ministerstvo vnitra se podrobně seznámilo se všemi podklady potřebnými pro rozhodnutí a na základě jejich zhodnocení jednak samostatně, jednak ve vzájemných souvislostech, dospělo k následujícím závěrům.</w:t>
      </w:r>
    </w:p>
    <w:p w:rsidR="00077C66" w:rsidRDefault="00077C66" w:rsidP="00077C66">
      <w:pPr>
        <w:pStyle w:val="Zkladntext"/>
        <w:spacing w:after="0" w:line="300" w:lineRule="exact"/>
        <w:ind w:firstLine="708"/>
        <w:jc w:val="both"/>
        <w:rPr>
          <w:rFonts w:ascii="Arial" w:hAnsi="Arial" w:cs="Arial"/>
        </w:rPr>
      </w:pPr>
    </w:p>
    <w:p w:rsidR="00077C66" w:rsidRDefault="00077C66" w:rsidP="00077C66">
      <w:pPr>
        <w:pStyle w:val="Bezmezer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Č</w:t>
      </w:r>
      <w:r w:rsidRPr="00B1345D">
        <w:rPr>
          <w:rFonts w:ascii="Arial" w:hAnsi="Arial"/>
          <w:sz w:val="24"/>
          <w:szCs w:val="24"/>
        </w:rPr>
        <w:t xml:space="preserve">l. 7 odst. 3 </w:t>
      </w:r>
      <w:r w:rsidR="009B3ABE">
        <w:rPr>
          <w:rFonts w:ascii="Arial" w:hAnsi="Arial"/>
          <w:sz w:val="24"/>
          <w:szCs w:val="24"/>
        </w:rPr>
        <w:t>vyhlášky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stanoví, že „</w:t>
      </w:r>
      <w:r w:rsidRPr="00FC656C">
        <w:rPr>
          <w:rFonts w:ascii="Arial" w:hAnsi="Arial"/>
          <w:i/>
          <w:sz w:val="24"/>
          <w:szCs w:val="24"/>
        </w:rPr>
        <w:t>Úleva v rozsahu 60% se poskytuje osobě, které poplatková povinnost vznikla z důvodu přihlášení v obci a která měla bydliště v katastrálním území obce Frymburk po dobu delší jednoho roku bezprostředně před splatností poplatku a která tuto skutečnost doloží správci poplatku</w:t>
      </w:r>
      <w:r>
        <w:rPr>
          <w:rFonts w:ascii="Arial" w:hAnsi="Arial"/>
          <w:sz w:val="24"/>
          <w:szCs w:val="24"/>
        </w:rPr>
        <w:t xml:space="preserve">.“. </w:t>
      </w:r>
      <w:r w:rsidRPr="00B1345D">
        <w:rPr>
          <w:rFonts w:ascii="Arial" w:hAnsi="Arial"/>
          <w:sz w:val="24"/>
          <w:szCs w:val="24"/>
        </w:rPr>
        <w:t>Odst. 4</w:t>
      </w:r>
      <w:r>
        <w:rPr>
          <w:rFonts w:ascii="Arial" w:hAnsi="Arial"/>
          <w:sz w:val="24"/>
          <w:szCs w:val="24"/>
        </w:rPr>
        <w:t xml:space="preserve"> čl. 7 </w:t>
      </w:r>
      <w:r w:rsidR="009B3ABE">
        <w:rPr>
          <w:rFonts w:ascii="Arial" w:hAnsi="Arial"/>
          <w:sz w:val="24"/>
          <w:szCs w:val="24"/>
        </w:rPr>
        <w:t>vyhlášky</w:t>
      </w:r>
      <w:r>
        <w:rPr>
          <w:rFonts w:ascii="Arial" w:hAnsi="Arial"/>
          <w:sz w:val="24"/>
          <w:szCs w:val="24"/>
        </w:rPr>
        <w:t xml:space="preserve"> pak stanoví, že „</w:t>
      </w:r>
      <w:r>
        <w:rPr>
          <w:rFonts w:ascii="Arial" w:hAnsi="Arial"/>
          <w:i/>
          <w:sz w:val="24"/>
          <w:szCs w:val="24"/>
        </w:rPr>
        <w:t>Úleva v rozsahu 6</w:t>
      </w:r>
      <w:r w:rsidRPr="008D2B6B">
        <w:rPr>
          <w:rFonts w:ascii="Arial" w:hAnsi="Arial"/>
          <w:i/>
          <w:sz w:val="24"/>
          <w:szCs w:val="24"/>
        </w:rPr>
        <w:t>0% se poskytuje osobě, které poplatková povinnost vznikla z</w:t>
      </w:r>
      <w:r>
        <w:rPr>
          <w:rFonts w:ascii="Arial" w:hAnsi="Arial"/>
          <w:i/>
          <w:sz w:val="24"/>
          <w:szCs w:val="24"/>
        </w:rPr>
        <w:t> </w:t>
      </w:r>
      <w:r w:rsidRPr="008D2B6B">
        <w:rPr>
          <w:rFonts w:ascii="Arial" w:hAnsi="Arial"/>
          <w:i/>
          <w:sz w:val="24"/>
          <w:szCs w:val="24"/>
        </w:rPr>
        <w:t>důvodu</w:t>
      </w:r>
      <w:r>
        <w:rPr>
          <w:rFonts w:ascii="Arial" w:hAnsi="Arial"/>
          <w:i/>
          <w:sz w:val="24"/>
          <w:szCs w:val="24"/>
        </w:rPr>
        <w:t xml:space="preserve"> </w:t>
      </w:r>
      <w:r w:rsidRPr="008D2B6B">
        <w:rPr>
          <w:rFonts w:ascii="Arial" w:hAnsi="Arial"/>
          <w:i/>
          <w:sz w:val="24"/>
          <w:szCs w:val="24"/>
        </w:rPr>
        <w:t>vlastnictví nemovité věci zahrnující byt, rodinný dům nebo stavbu pro rodinnou rekreaci,</w:t>
      </w:r>
      <w:r>
        <w:rPr>
          <w:rFonts w:ascii="Arial" w:hAnsi="Arial"/>
          <w:i/>
          <w:sz w:val="24"/>
          <w:szCs w:val="24"/>
        </w:rPr>
        <w:t xml:space="preserve"> </w:t>
      </w:r>
      <w:r w:rsidRPr="008D2B6B">
        <w:rPr>
          <w:rFonts w:ascii="Arial" w:hAnsi="Arial"/>
          <w:i/>
          <w:sz w:val="24"/>
          <w:szCs w:val="24"/>
        </w:rPr>
        <w:t>ve které není přihlášená žádná fyzická osoba a která se nachází na území této obce, a</w:t>
      </w:r>
      <w:r>
        <w:rPr>
          <w:rFonts w:ascii="Arial" w:hAnsi="Arial"/>
          <w:i/>
          <w:sz w:val="24"/>
          <w:szCs w:val="24"/>
        </w:rPr>
        <w:t xml:space="preserve"> </w:t>
      </w:r>
      <w:r w:rsidRPr="008D2B6B">
        <w:rPr>
          <w:rFonts w:ascii="Arial" w:hAnsi="Arial"/>
          <w:i/>
          <w:sz w:val="24"/>
          <w:szCs w:val="24"/>
        </w:rPr>
        <w:t>kterážto osoba měla bydliště v uvedené nemovité věci po dobu delší jednoho roku</w:t>
      </w:r>
      <w:r>
        <w:rPr>
          <w:rFonts w:ascii="Arial" w:hAnsi="Arial"/>
          <w:i/>
          <w:sz w:val="24"/>
          <w:szCs w:val="24"/>
        </w:rPr>
        <w:t xml:space="preserve"> </w:t>
      </w:r>
      <w:r w:rsidRPr="008D2B6B">
        <w:rPr>
          <w:rFonts w:ascii="Arial" w:hAnsi="Arial"/>
          <w:i/>
          <w:sz w:val="24"/>
          <w:szCs w:val="24"/>
        </w:rPr>
        <w:t>bezprostředně před splatností poplatku</w:t>
      </w:r>
      <w:r>
        <w:rPr>
          <w:rFonts w:ascii="Arial" w:hAnsi="Arial"/>
          <w:i/>
          <w:sz w:val="24"/>
          <w:szCs w:val="24"/>
        </w:rPr>
        <w:t xml:space="preserve"> a která tuto skutečnost doloží správci poplatku.“.</w:t>
      </w:r>
    </w:p>
    <w:p w:rsidR="00077C66" w:rsidRDefault="00077C66" w:rsidP="00077C66">
      <w:pPr>
        <w:pStyle w:val="Bezmezer"/>
        <w:jc w:val="both"/>
        <w:rPr>
          <w:rFonts w:ascii="Arial" w:hAnsi="Arial"/>
          <w:sz w:val="24"/>
          <w:szCs w:val="24"/>
        </w:rPr>
      </w:pPr>
    </w:p>
    <w:p w:rsidR="00077C66" w:rsidRPr="00C75516" w:rsidRDefault="00077C66" w:rsidP="00077C66">
      <w:pPr>
        <w:pStyle w:val="Bezmezer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 textu předmětných ustanovení </w:t>
      </w:r>
      <w:r w:rsidR="009B3ABE">
        <w:rPr>
          <w:rFonts w:ascii="Arial" w:hAnsi="Arial"/>
          <w:sz w:val="24"/>
          <w:szCs w:val="24"/>
        </w:rPr>
        <w:t>vyhlášky</w:t>
      </w:r>
      <w:r>
        <w:rPr>
          <w:rFonts w:ascii="Arial" w:hAnsi="Arial"/>
          <w:sz w:val="24"/>
          <w:szCs w:val="24"/>
        </w:rPr>
        <w:t xml:space="preserve"> </w:t>
      </w:r>
      <w:r w:rsidRPr="00C75516">
        <w:rPr>
          <w:rFonts w:ascii="Arial" w:hAnsi="Arial"/>
          <w:sz w:val="24"/>
          <w:szCs w:val="24"/>
        </w:rPr>
        <w:t xml:space="preserve">tedy vyplývá, že sazbu v plné výši platí poplatníci, kteří vlastní na území obce nemovitost a zároveň zde nemají bydliště déle než jeden rok, popřípadě poplatníci z titulu přihlášení v městysi, kteří zde mají bydliště kratší dobu než rok. </w:t>
      </w:r>
      <w:r w:rsidR="009B3ABE">
        <w:rPr>
          <w:rFonts w:ascii="Arial" w:hAnsi="Arial"/>
          <w:sz w:val="24"/>
          <w:szCs w:val="24"/>
        </w:rPr>
        <w:t>Vyhláška tedy navozuje situaci</w:t>
      </w:r>
      <w:r>
        <w:rPr>
          <w:rFonts w:ascii="Arial" w:hAnsi="Arial"/>
          <w:sz w:val="24"/>
          <w:szCs w:val="24"/>
        </w:rPr>
        <w:t>, kdy</w:t>
      </w:r>
      <w:r w:rsidRPr="00C75516">
        <w:rPr>
          <w:rFonts w:ascii="Arial" w:hAnsi="Arial"/>
          <w:sz w:val="24"/>
          <w:szCs w:val="24"/>
        </w:rPr>
        <w:t xml:space="preserve"> sazbu </w:t>
      </w:r>
      <w:r>
        <w:rPr>
          <w:rFonts w:ascii="Arial" w:hAnsi="Arial"/>
          <w:sz w:val="24"/>
          <w:szCs w:val="24"/>
        </w:rPr>
        <w:t xml:space="preserve">v plné výši </w:t>
      </w:r>
      <w:r w:rsidRPr="00C75516">
        <w:rPr>
          <w:rFonts w:ascii="Arial" w:hAnsi="Arial"/>
          <w:sz w:val="24"/>
          <w:szCs w:val="24"/>
        </w:rPr>
        <w:t xml:space="preserve">platí poplatníci, kteří </w:t>
      </w:r>
      <w:r w:rsidR="000801FB">
        <w:rPr>
          <w:rFonts w:ascii="Arial" w:hAnsi="Arial"/>
          <w:sz w:val="24"/>
          <w:szCs w:val="24"/>
        </w:rPr>
        <w:t>v městysi</w:t>
      </w:r>
      <w:r w:rsidRPr="00C75516">
        <w:rPr>
          <w:rFonts w:ascii="Arial" w:hAnsi="Arial"/>
          <w:sz w:val="24"/>
          <w:szCs w:val="24"/>
        </w:rPr>
        <w:t xml:space="preserve"> formálně po</w:t>
      </w:r>
      <w:r>
        <w:rPr>
          <w:rFonts w:ascii="Arial" w:hAnsi="Arial"/>
          <w:sz w:val="24"/>
          <w:szCs w:val="24"/>
        </w:rPr>
        <w:t>bývají méně než další skupiny.</w:t>
      </w:r>
    </w:p>
    <w:p w:rsidR="00077C66" w:rsidRDefault="00077C66" w:rsidP="00077C66">
      <w:pPr>
        <w:pStyle w:val="Bezmezer"/>
        <w:jc w:val="both"/>
        <w:rPr>
          <w:rFonts w:ascii="Arial" w:hAnsi="Arial"/>
          <w:sz w:val="24"/>
          <w:szCs w:val="24"/>
        </w:rPr>
      </w:pPr>
    </w:p>
    <w:p w:rsidR="00077C66" w:rsidRPr="00C75516" w:rsidRDefault="00077C66" w:rsidP="00077C66">
      <w:pPr>
        <w:pStyle w:val="Bezmezer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Městys zaslal pod č. j. UMF-0368/2022 ze dne 21. února 2022 k odstavci</w:t>
      </w:r>
      <w:r w:rsidRPr="00C75516">
        <w:rPr>
          <w:rFonts w:ascii="Arial" w:hAnsi="Arial"/>
          <w:sz w:val="24"/>
          <w:szCs w:val="24"/>
        </w:rPr>
        <w:t xml:space="preserve"> 3 a 4 </w:t>
      </w:r>
      <w:r>
        <w:rPr>
          <w:rFonts w:ascii="Arial" w:hAnsi="Arial"/>
          <w:sz w:val="24"/>
          <w:szCs w:val="24"/>
        </w:rPr>
        <w:t xml:space="preserve">čl. 7 OZV své </w:t>
      </w:r>
      <w:r w:rsidRPr="00C75516">
        <w:rPr>
          <w:rFonts w:ascii="Arial" w:hAnsi="Arial"/>
          <w:sz w:val="24"/>
          <w:szCs w:val="24"/>
        </w:rPr>
        <w:t xml:space="preserve">vyjádření, </w:t>
      </w:r>
      <w:r>
        <w:rPr>
          <w:rFonts w:ascii="Arial" w:hAnsi="Arial"/>
          <w:sz w:val="24"/>
          <w:szCs w:val="24"/>
        </w:rPr>
        <w:t xml:space="preserve">na které odkázal rovněž ve svém vyjádření k zaslané výzvě ke zjednání nápravy, </w:t>
      </w:r>
      <w:r w:rsidRPr="00C75516">
        <w:rPr>
          <w:rFonts w:ascii="Arial" w:hAnsi="Arial"/>
          <w:sz w:val="24"/>
          <w:szCs w:val="24"/>
        </w:rPr>
        <w:t>ze kterého vyplývá</w:t>
      </w:r>
      <w:r>
        <w:rPr>
          <w:rFonts w:ascii="Arial" w:hAnsi="Arial"/>
          <w:sz w:val="24"/>
          <w:szCs w:val="24"/>
        </w:rPr>
        <w:t xml:space="preserve"> následující</w:t>
      </w:r>
      <w:r w:rsidRPr="00C75516">
        <w:rPr>
          <w:rFonts w:ascii="Arial" w:hAnsi="Arial"/>
          <w:sz w:val="24"/>
          <w:szCs w:val="24"/>
        </w:rPr>
        <w:t>:</w:t>
      </w:r>
    </w:p>
    <w:p w:rsidR="00077C66" w:rsidRPr="00C75516" w:rsidRDefault="00077C66" w:rsidP="00077C66">
      <w:pPr>
        <w:pStyle w:val="Bezmezer"/>
        <w:jc w:val="both"/>
        <w:rPr>
          <w:rFonts w:ascii="Arial" w:hAnsi="Arial"/>
          <w:sz w:val="24"/>
          <w:szCs w:val="24"/>
        </w:rPr>
      </w:pPr>
    </w:p>
    <w:p w:rsidR="00077C66" w:rsidRDefault="00077C66" w:rsidP="00077C66">
      <w:pPr>
        <w:pStyle w:val="Bezmezer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C75516">
        <w:rPr>
          <w:rFonts w:ascii="Arial" w:hAnsi="Arial"/>
          <w:sz w:val="24"/>
          <w:szCs w:val="24"/>
        </w:rPr>
        <w:t>Městys se nedomnívá, že jde o diskriminaci, neboť postupuje stejně jak u poplatníků s pobytem, tak také u poplatníků vlastnících zpoplatněnou</w:t>
      </w:r>
      <w:r>
        <w:rPr>
          <w:rFonts w:ascii="Arial" w:hAnsi="Arial"/>
          <w:sz w:val="24"/>
          <w:szCs w:val="24"/>
        </w:rPr>
        <w:t xml:space="preserve"> nemovitost.</w:t>
      </w:r>
    </w:p>
    <w:p w:rsidR="00077C66" w:rsidRDefault="00077C66" w:rsidP="00077C66">
      <w:pPr>
        <w:pStyle w:val="Bezmezer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Městys k úlevám přistoupil z důvodu nerovného postavení poplatníků, kdy u poplatníka s pobytem platí každý, kdežto vlastníci nemovitostí platí pouze jeden poplatek za nemovitost, bez ohledu na počet fyzických osob, které se v nemovitosti zdržují.</w:t>
      </w:r>
    </w:p>
    <w:p w:rsidR="00077C66" w:rsidRDefault="00077C66" w:rsidP="00077C66">
      <w:pPr>
        <w:pStyle w:val="Bezmezer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Dle městyse poplatníci, kteří mají v nemovité věci bydliště, více třídí.</w:t>
      </w:r>
    </w:p>
    <w:p w:rsidR="00077C66" w:rsidRDefault="00077C66" w:rsidP="00077C66">
      <w:pPr>
        <w:pStyle w:val="Bezmezer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Dále městys vyslovuje domněnku, že tímto pečuje o potřeby svých občanů a osob majících na území městyse bydliště v souladu se zákonem o obcích.</w:t>
      </w:r>
    </w:p>
    <w:p w:rsidR="00077C66" w:rsidRDefault="00077C66" w:rsidP="00077C66">
      <w:pPr>
        <w:pStyle w:val="Bezmezer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Dále městys poukazuje na několik odloučených rekreačních osad, kde má městys vzhledem k neukázněnosti tamějších chatařů zvýšené náklady na sběr a svoz komunálního odpadu.</w:t>
      </w:r>
    </w:p>
    <w:p w:rsidR="00077C66" w:rsidRDefault="00077C66" w:rsidP="00077C66">
      <w:pPr>
        <w:pStyle w:val="Bezmezer"/>
        <w:jc w:val="both"/>
        <w:rPr>
          <w:rFonts w:ascii="Arial" w:hAnsi="Arial"/>
          <w:sz w:val="24"/>
          <w:szCs w:val="24"/>
        </w:rPr>
      </w:pPr>
    </w:p>
    <w:p w:rsidR="00077C66" w:rsidRDefault="00077C66" w:rsidP="00077C66">
      <w:pPr>
        <w:pStyle w:val="Text"/>
        <w:ind w:firstLine="709"/>
        <w:jc w:val="both"/>
        <w:rPr>
          <w:b/>
          <w:bCs/>
        </w:rPr>
      </w:pPr>
      <w:r>
        <w:t xml:space="preserve">Přestože obce </w:t>
      </w:r>
      <w:r w:rsidRPr="000331A1">
        <w:t>m</w:t>
      </w:r>
      <w:r>
        <w:t>ohou</w:t>
      </w:r>
      <w:r w:rsidRPr="000331A1">
        <w:t xml:space="preserve"> na</w:t>
      </w:r>
      <w:r>
        <w:t xml:space="preserve"> základě ustanovení § 14 odst. 3 písm. a)</w:t>
      </w:r>
      <w:r w:rsidRPr="000331A1">
        <w:t xml:space="preserve"> </w:t>
      </w:r>
      <w:r>
        <w:t xml:space="preserve">a b) </w:t>
      </w:r>
      <w:r w:rsidRPr="000331A1">
        <w:t xml:space="preserve">zákona </w:t>
      </w:r>
      <w:r>
        <w:t>č. 565/1990 Sb., o </w:t>
      </w:r>
      <w:r w:rsidRPr="000331A1">
        <w:t>místních poplatcích</w:t>
      </w:r>
      <w:r>
        <w:t xml:space="preserve">, ve znění pozdějších předpisů (dále jen „zákon o místních poplatcích“), </w:t>
      </w:r>
      <w:r w:rsidRPr="000331A1">
        <w:t xml:space="preserve">stanovit v obecně závazné vyhlášce </w:t>
      </w:r>
      <w:r>
        <w:t xml:space="preserve">vlastní osvobození a úlevy </w:t>
      </w:r>
      <w:r w:rsidRPr="00991657">
        <w:t xml:space="preserve">od poplatku, není na jejich ničím neomezené úvaze, z jakých důvodů osvobození či úlevy od poplatku zavedou. </w:t>
      </w:r>
      <w:r w:rsidRPr="00991657">
        <w:rPr>
          <w:bCs/>
        </w:rPr>
        <w:t xml:space="preserve">Osvobození či úleva od poplatku </w:t>
      </w:r>
      <w:r w:rsidRPr="00991657">
        <w:t>musí mít vždy návaznost na předmět poplatku nebo specifické postavení poplatníka, které má vliv na jeho vztah k poplatkové povinnosti</w:t>
      </w:r>
      <w:r w:rsidRPr="00991657">
        <w:rPr>
          <w:bCs/>
        </w:rPr>
        <w:t>.</w:t>
      </w:r>
      <w:r w:rsidRPr="00991657">
        <w:t xml:space="preserve"> Smyslem a účelem osvobození a úlev od poplatku má být zmírnění či eliminace případných negativních dopadů zavedení místního poplatku na vybrané skupiny obyvatel (ať už ekonomických, sociálních či jiných). S tím rovněž souvisí i skutečnost, že </w:t>
      </w:r>
      <w:r w:rsidRPr="00991657">
        <w:rPr>
          <w:bCs/>
        </w:rPr>
        <w:t>osvobození či úlevy od poplatku nesmějí sloužit k obcházení zákona nebo být založeny na ústavně nepřípustném rozlišování (diskriminaci).</w:t>
      </w:r>
    </w:p>
    <w:p w:rsidR="00077C66" w:rsidRDefault="00077C66" w:rsidP="00077C66">
      <w:pPr>
        <w:pStyle w:val="Text"/>
        <w:ind w:firstLine="708"/>
        <w:jc w:val="both"/>
        <w:rPr>
          <w:b/>
          <w:bCs/>
        </w:rPr>
      </w:pPr>
    </w:p>
    <w:p w:rsidR="00077C66" w:rsidRPr="00991657" w:rsidRDefault="00077C66" w:rsidP="00077C66">
      <w:pPr>
        <w:pStyle w:val="Text"/>
        <w:ind w:firstLine="709"/>
        <w:jc w:val="both"/>
        <w:rPr>
          <w:bCs/>
        </w:rPr>
      </w:pPr>
      <w:r w:rsidRPr="00991657">
        <w:rPr>
          <w:bCs/>
        </w:rPr>
        <w:t xml:space="preserve">Ministerstvo vnitra má za to, že zavedením úlev od poplatku dle čl. 7 odst. 3 </w:t>
      </w:r>
      <w:r>
        <w:rPr>
          <w:bCs/>
        </w:rPr>
        <w:br/>
      </w:r>
      <w:r w:rsidRPr="00991657">
        <w:rPr>
          <w:bCs/>
        </w:rPr>
        <w:t>a 4 městys jednak obchází zákonem stanovenou konstrukci místního poplatku za obecní systém odpadového hospodářství vymezenou v § 10e a násl. zákona o místních poplatcích, jednak porušuje princip rovného zacházení (zákaz diskriminace), čímž jedná v rozporu s čl. 1 Listiny základních práv a svobod.</w:t>
      </w:r>
    </w:p>
    <w:p w:rsidR="00077C66" w:rsidRPr="00654C18" w:rsidRDefault="00077C66" w:rsidP="00077C66">
      <w:pPr>
        <w:pStyle w:val="Bezmezer"/>
        <w:jc w:val="both"/>
        <w:rPr>
          <w:rFonts w:ascii="Arial" w:hAnsi="Arial"/>
          <w:b/>
          <w:sz w:val="24"/>
          <w:szCs w:val="24"/>
        </w:rPr>
      </w:pPr>
    </w:p>
    <w:p w:rsidR="00077C66" w:rsidRPr="00C676D1" w:rsidRDefault="00077C66" w:rsidP="00077C66">
      <w:pPr>
        <w:pStyle w:val="Text"/>
        <w:ind w:firstLine="709"/>
        <w:jc w:val="both"/>
        <w:rPr>
          <w:b/>
          <w:bCs/>
        </w:rPr>
      </w:pPr>
      <w:r>
        <w:t xml:space="preserve">V rovině vydávání obecně závazných vyhlášek lze obcházení zákona, resp. zneužití práva, chápat jako </w:t>
      </w:r>
      <w:r w:rsidRPr="00991657">
        <w:rPr>
          <w:bCs/>
        </w:rPr>
        <w:t>zneužití zákonem stanovené působnosti obce ve smyslu třetího kroku tzv. „testu čtyř kroků“</w:t>
      </w:r>
      <w:r w:rsidRPr="00991657">
        <w:t xml:space="preserve"> definovaného nálezem Ústavního soudu ze dne ze dne 22. března 2005, </w:t>
      </w:r>
      <w:proofErr w:type="spellStart"/>
      <w:r w:rsidRPr="00991657">
        <w:t>sp</w:t>
      </w:r>
      <w:proofErr w:type="spellEnd"/>
      <w:r w:rsidRPr="00991657">
        <w:t xml:space="preserve">. zn. </w:t>
      </w:r>
      <w:proofErr w:type="spellStart"/>
      <w:r w:rsidRPr="00991657">
        <w:t>Pl</w:t>
      </w:r>
      <w:proofErr w:type="spellEnd"/>
      <w:r w:rsidRPr="00991657">
        <w:t>.</w:t>
      </w:r>
      <w:r>
        <w:t xml:space="preserve"> </w:t>
      </w:r>
      <w:r w:rsidRPr="00991657">
        <w:t xml:space="preserve">ÚS 63/04, </w:t>
      </w:r>
      <w:r w:rsidRPr="00991657">
        <w:rPr>
          <w:bCs/>
        </w:rPr>
        <w:t>a to</w:t>
      </w:r>
      <w:r w:rsidRPr="00991657">
        <w:t xml:space="preserve"> </w:t>
      </w:r>
      <w:r w:rsidRPr="00991657">
        <w:rPr>
          <w:bCs/>
        </w:rPr>
        <w:t>cestou sledování účelu, který není zákonem aprobován.</w:t>
      </w:r>
    </w:p>
    <w:p w:rsidR="00077C66" w:rsidRDefault="00077C66" w:rsidP="00077C66">
      <w:pPr>
        <w:pStyle w:val="Text"/>
        <w:jc w:val="both"/>
      </w:pPr>
    </w:p>
    <w:p w:rsidR="00077C66" w:rsidRDefault="00077C66" w:rsidP="00077C66">
      <w:pPr>
        <w:pStyle w:val="Text"/>
        <w:ind w:firstLine="709"/>
        <w:jc w:val="both"/>
      </w:pPr>
      <w:r>
        <w:t xml:space="preserve">Poplatek za obecní systém odpadového hospodářství je konstruován tak, aby poplatková povinnost dopadala jak na fyzické osoby přihlášené v obci, tak na vlastníky zákonem stanovených nemovitých věcí, v nichž není přihlášená žádná fyzická osoba. </w:t>
      </w:r>
      <w:r w:rsidRPr="00991657">
        <w:rPr>
          <w:bCs/>
        </w:rPr>
        <w:t xml:space="preserve">Smyslem a účelem tohoto vymezení poplatníků je spravedlivě rozdělit náklady na placení příspěvku na provoz obecního systému nakládání s komunálním odpadem mezi fyzické osoby, jež tento systém využívají. </w:t>
      </w:r>
      <w:r w:rsidRPr="00991657">
        <w:t xml:space="preserve">Uvedené rozdělení vyplývá přímo </w:t>
      </w:r>
      <w:r w:rsidRPr="00991657">
        <w:rPr>
          <w:bCs/>
        </w:rPr>
        <w:t>z hodnotového rozhodnutí zákonodárce</w:t>
      </w:r>
      <w:r w:rsidRPr="00991657">
        <w:t>,</w:t>
      </w:r>
      <w:r>
        <w:t xml:space="preserve"> který do něj vtělil jednu z možných představ o tom, co je ve společnosti ve vztahu k finanční spoluúčasti různých skupin osob produkujících na území obce komunální odpad a využívajících systém nakládání s komunálním odpadem pokládáno za spravedlivé.</w:t>
      </w:r>
    </w:p>
    <w:p w:rsidR="00077C66" w:rsidRDefault="00077C66" w:rsidP="00077C66">
      <w:pPr>
        <w:pStyle w:val="Text"/>
        <w:jc w:val="both"/>
      </w:pPr>
    </w:p>
    <w:p w:rsidR="00077C66" w:rsidRPr="004B14CD" w:rsidRDefault="00077C66" w:rsidP="00077C66">
      <w:pPr>
        <w:pStyle w:val="Bezmezer"/>
        <w:ind w:firstLine="709"/>
        <w:jc w:val="both"/>
      </w:pPr>
      <w:r w:rsidRPr="004925B3">
        <w:rPr>
          <w:rFonts w:ascii="Arial" w:eastAsia="Arial" w:hAnsi="Arial" w:cs="Arial"/>
          <w:sz w:val="24"/>
          <w:szCs w:val="24"/>
        </w:rPr>
        <w:t xml:space="preserve">V důvodové zprávě k novele zákona o </w:t>
      </w:r>
      <w:r>
        <w:rPr>
          <w:rFonts w:ascii="Arial" w:eastAsia="Arial" w:hAnsi="Arial" w:cs="Arial"/>
          <w:sz w:val="24"/>
          <w:szCs w:val="24"/>
        </w:rPr>
        <w:t>místních poplatcích (č. 543/2020 Sb.), kterou byl</w:t>
      </w:r>
      <w:r w:rsidRPr="004925B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předmětný poplatek</w:t>
      </w:r>
      <w:r w:rsidRPr="004925B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zaveden</w:t>
      </w:r>
      <w:r w:rsidRPr="004925B3">
        <w:rPr>
          <w:rFonts w:ascii="Arial" w:eastAsia="Arial" w:hAnsi="Arial" w:cs="Arial"/>
          <w:sz w:val="24"/>
          <w:szCs w:val="24"/>
        </w:rPr>
        <w:t xml:space="preserve">, se mimo jiné uvádí: </w:t>
      </w:r>
      <w:r w:rsidRPr="004925B3">
        <w:rPr>
          <w:rFonts w:ascii="Arial" w:eastAsia="Arial" w:hAnsi="Arial" w:cs="Arial"/>
          <w:i/>
          <w:sz w:val="24"/>
          <w:szCs w:val="24"/>
        </w:rPr>
        <w:t xml:space="preserve">„Poplatek za obecní systém odpadového </w:t>
      </w:r>
      <w:r w:rsidRPr="004B14CD">
        <w:rPr>
          <w:rFonts w:ascii="Arial" w:eastAsia="Arial" w:hAnsi="Arial" w:cs="Arial"/>
          <w:i/>
          <w:spacing w:val="-2"/>
          <w:sz w:val="24"/>
          <w:szCs w:val="24"/>
        </w:rPr>
        <w:t xml:space="preserve">hospodářství </w:t>
      </w:r>
      <w:r w:rsidRPr="00991657">
        <w:rPr>
          <w:rFonts w:ascii="Arial" w:eastAsia="Arial" w:hAnsi="Arial" w:cs="Arial"/>
          <w:i/>
          <w:spacing w:val="-2"/>
          <w:sz w:val="24"/>
          <w:szCs w:val="24"/>
        </w:rPr>
        <w:t>je poplatek za samotnou existenci systému nakládání s komunálním</w:t>
      </w:r>
      <w:r w:rsidRPr="00991657">
        <w:rPr>
          <w:rFonts w:ascii="Arial" w:eastAsia="Arial" w:hAnsi="Arial" w:cs="Arial"/>
          <w:i/>
          <w:sz w:val="24"/>
          <w:szCs w:val="24"/>
        </w:rPr>
        <w:t xml:space="preserve"> odpadem v obci</w:t>
      </w:r>
      <w:r w:rsidRPr="001D3FE3">
        <w:rPr>
          <w:rFonts w:ascii="Arial" w:eastAsia="Arial" w:hAnsi="Arial" w:cs="Arial"/>
          <w:b/>
          <w:i/>
          <w:sz w:val="24"/>
          <w:szCs w:val="24"/>
        </w:rPr>
        <w:t xml:space="preserve">. </w:t>
      </w:r>
      <w:r w:rsidRPr="009B3ABE">
        <w:rPr>
          <w:rFonts w:ascii="Arial" w:eastAsia="Arial" w:hAnsi="Arial" w:cs="Arial"/>
          <w:i/>
          <w:sz w:val="24"/>
          <w:szCs w:val="24"/>
        </w:rPr>
        <w:t xml:space="preserve">Tento poplatek vychází z principu, že ze systému má prospěch každá osoba, která je přihlášena v obci nebo vlastní na území obce nemovitou věc zahrnující byt, rodinný dům nebo stavbu pro rodinnou rekreaci, ve které není přihlášena žádná fyzická osoba (srov. důvodovou zprávu k § 10e vymezující </w:t>
      </w:r>
      <w:r w:rsidRPr="009B3ABE">
        <w:rPr>
          <w:rFonts w:ascii="Arial" w:eastAsia="Arial" w:hAnsi="Arial" w:cs="Arial"/>
          <w:i/>
          <w:sz w:val="24"/>
          <w:szCs w:val="24"/>
        </w:rPr>
        <w:lastRenderedPageBreak/>
        <w:t>poplatníka tohoto poplatku), a to zásadně stejnou měrou.</w:t>
      </w:r>
      <w:r w:rsidRPr="00ED7BF1">
        <w:rPr>
          <w:rFonts w:ascii="Arial" w:eastAsia="Arial" w:hAnsi="Arial" w:cs="Arial"/>
          <w:i/>
          <w:sz w:val="24"/>
          <w:szCs w:val="24"/>
        </w:rPr>
        <w:t xml:space="preserve"> </w:t>
      </w:r>
      <w:r w:rsidRPr="004925B3">
        <w:rPr>
          <w:rFonts w:ascii="Arial" w:eastAsia="Arial" w:hAnsi="Arial" w:cs="Arial"/>
          <w:i/>
          <w:sz w:val="24"/>
          <w:szCs w:val="24"/>
        </w:rPr>
        <w:t>Proto obec zavede tento poplatek v pevné výši s tím, že se platí samostatně z důvodu přihlášení a samostatně z důvodu vlastnictví každé jednotlivé nemovité věci, ve které není přihlášená žádná fyzická osoba.</w:t>
      </w:r>
      <w:r>
        <w:rPr>
          <w:rFonts w:ascii="Arial" w:eastAsia="Arial" w:hAnsi="Arial" w:cs="Arial"/>
          <w:sz w:val="24"/>
          <w:szCs w:val="24"/>
        </w:rPr>
        <w:t>“</w:t>
      </w:r>
    </w:p>
    <w:p w:rsidR="00077C66" w:rsidRDefault="00077C66" w:rsidP="00077C66">
      <w:pPr>
        <w:pStyle w:val="Text"/>
        <w:jc w:val="both"/>
      </w:pPr>
    </w:p>
    <w:p w:rsidR="00077C66" w:rsidRPr="00ED7BF1" w:rsidRDefault="00077C66" w:rsidP="00077C66">
      <w:pPr>
        <w:pStyle w:val="Text"/>
        <w:ind w:firstLine="709"/>
        <w:jc w:val="both"/>
      </w:pPr>
      <w:r>
        <w:t xml:space="preserve">Z výše uvedeného tedy vyplývá, že </w:t>
      </w:r>
      <w:r w:rsidRPr="004925B3">
        <w:t xml:space="preserve">poplatek </w:t>
      </w:r>
      <w:r>
        <w:t xml:space="preserve">je toliko </w:t>
      </w:r>
      <w:r w:rsidR="00147C8D">
        <w:t>paušálního charakteru, váza</w:t>
      </w:r>
      <w:r w:rsidRPr="004925B3">
        <w:t>ný na formální kritérium pobytu osoby v obci, případně na vlastnictví zákonem stanovené nemovité věci, ve které není</w:t>
      </w:r>
      <w:r>
        <w:t xml:space="preserve"> přihlášena žádná fyzická osoba</w:t>
      </w:r>
      <w:r w:rsidRPr="004925B3">
        <w:t>.</w:t>
      </w:r>
    </w:p>
    <w:p w:rsidR="00077C66" w:rsidRPr="00ED7BF1" w:rsidRDefault="00077C66" w:rsidP="00077C66">
      <w:pPr>
        <w:pStyle w:val="Text"/>
        <w:jc w:val="both"/>
        <w:rPr>
          <w:b/>
        </w:rPr>
      </w:pPr>
    </w:p>
    <w:p w:rsidR="00077C66" w:rsidRDefault="00077C66" w:rsidP="00077C66">
      <w:pPr>
        <w:pStyle w:val="Text"/>
        <w:ind w:firstLine="709"/>
        <w:jc w:val="both"/>
      </w:pPr>
      <w:r w:rsidRPr="00991657">
        <w:t>Městysem nastavený systém úlev pak vede k popření filozofie a konstrukci příslušného poplatku, neboť vede ke zcela absurdní situaci</w:t>
      </w:r>
      <w:r w:rsidR="000801FB">
        <w:t>, když</w:t>
      </w:r>
      <w:r w:rsidRPr="00ED7BF1">
        <w:t xml:space="preserve"> osoby s bydlištěm v </w:t>
      </w:r>
      <w:r>
        <w:t>městysi</w:t>
      </w:r>
      <w:r w:rsidRPr="00ED7BF1">
        <w:t xml:space="preserve"> (ať už jsou poplatníky z titulu přihlášení či z titulu vlastnictví příslušné nemovité věci)</w:t>
      </w:r>
      <w:r>
        <w:t>, u kterých lze důvodně předpokládat vyšší míru využívání obecního systému odpadového hospodářství,</w:t>
      </w:r>
      <w:r w:rsidRPr="00ED7BF1">
        <w:t xml:space="preserve"> budou mít nižší poplatkovou povinnost než osoby s bydlištěm </w:t>
      </w:r>
      <w:r>
        <w:t>na území jiné obce, které budou předmětný obecní systém využívat v menší míře.</w:t>
      </w:r>
    </w:p>
    <w:p w:rsidR="00576DF1" w:rsidRDefault="00576DF1" w:rsidP="00077C66">
      <w:pPr>
        <w:pStyle w:val="Text"/>
        <w:ind w:firstLine="709"/>
        <w:jc w:val="both"/>
      </w:pPr>
    </w:p>
    <w:p w:rsidR="00576DF1" w:rsidRDefault="00576DF1" w:rsidP="00576DF1">
      <w:pPr>
        <w:pStyle w:val="Text"/>
        <w:ind w:firstLine="709"/>
        <w:jc w:val="both"/>
      </w:pPr>
      <w:r>
        <w:t>M</w:t>
      </w:r>
      <w:r w:rsidRPr="00A54647">
        <w:t xml:space="preserve">ěstysem nastavený systém úlev měl (zřejmě) </w:t>
      </w:r>
      <w:r>
        <w:t>ve svém důsledku vést k vyššímu zpoplatnění těch poplatníků (bez bydliště v městysi), kteří na území městyse vlastní nemovitou věc</w:t>
      </w:r>
      <w:r w:rsidRPr="00226F49">
        <w:t xml:space="preserve"> zahrnující byt, rodinný dům nebo stavbu pro rodinnou rekreaci, ve které není p</w:t>
      </w:r>
      <w:r>
        <w:t xml:space="preserve">řihlášena žádná fyzická osoba. Takovýto postup je však nutno rovněž hodnotit jako nerespektování základních parametrů příslušného poplatku. </w:t>
      </w:r>
    </w:p>
    <w:p w:rsidR="00077C66" w:rsidRDefault="00077C66" w:rsidP="00077C66">
      <w:pPr>
        <w:pStyle w:val="Text"/>
        <w:jc w:val="both"/>
      </w:pPr>
    </w:p>
    <w:p w:rsidR="00077C66" w:rsidRPr="00991657" w:rsidRDefault="00077C66" w:rsidP="00077C66">
      <w:pPr>
        <w:pStyle w:val="Text"/>
        <w:ind w:firstLine="709"/>
        <w:jc w:val="both"/>
      </w:pPr>
      <w:r w:rsidRPr="00991657">
        <w:t>Městysem nastavený systém úlev pak lze hodnotit též i jako diskriminační, neboť porušuje princip rovného zacházení. Vymezení poplatníka u tohoto poplatku má formální charakter, neboť kritériem je zde přihlášení fyzické osoby v obci, popř. vlastnictví příslušné nemovité věci; takovéto vymezení pak odpovídá paušálnímu c</w:t>
      </w:r>
      <w:r>
        <w:t>harakteru tohoto poplatku. Městyse</w:t>
      </w:r>
      <w:r w:rsidRPr="00991657">
        <w:t>m stanovené úlevy tak zakládají neodůvodnitelnou nerovnost mezi poplatníky s bydlištěm v </w:t>
      </w:r>
      <w:r>
        <w:t>městysi</w:t>
      </w:r>
      <w:r w:rsidRPr="00991657">
        <w:t xml:space="preserve"> a poplatníky bez tohoto bydliště, kdy tento postup s ohledem na příslušnou právní úpravu nelze ospravedlnit věcnými důvody. Jak již bylo uvedeno výše, poplatek se platí za samotnou existenci systému nakládání s komunálním odpadem v obci bez ohledu na skutečnost, zda a v jaké míře příslušná osoba systém využívá. Pokud mají bez dalšího vyšší poplatkovou povinnost nést osoby, které příslušný obecní systém </w:t>
      </w:r>
      <w:r w:rsidRPr="00991657">
        <w:rPr>
          <w:spacing w:val="2"/>
        </w:rPr>
        <w:t xml:space="preserve">zpravidla nevyužívají, a to navíc za situace, kdy je poplatek z hlediska právní </w:t>
      </w:r>
      <w:r w:rsidRPr="00991657">
        <w:rPr>
          <w:spacing w:val="4"/>
        </w:rPr>
        <w:t xml:space="preserve">úpravy </w:t>
      </w:r>
      <w:r w:rsidRPr="00991657">
        <w:t>konstruován jako paušální, pak příslušné úlevy zavádí neospravedlnitelné zvýhodnění jedné kategorie poplatníků oproti druhé.</w:t>
      </w:r>
    </w:p>
    <w:p w:rsidR="00077C66" w:rsidRDefault="00077C66" w:rsidP="00077C66">
      <w:pPr>
        <w:pStyle w:val="Text"/>
        <w:jc w:val="both"/>
        <w:rPr>
          <w:b/>
        </w:rPr>
      </w:pPr>
    </w:p>
    <w:p w:rsidR="00077C66" w:rsidRPr="00DF7EFE" w:rsidRDefault="00077C66" w:rsidP="00077C66">
      <w:pPr>
        <w:pStyle w:val="Text"/>
        <w:ind w:firstLine="709"/>
        <w:jc w:val="both"/>
      </w:pPr>
      <w:r w:rsidRPr="00DF7EFE">
        <w:t>V návaznosti na městysem uvedené zdůvodnění úlev pak Ministerstvo vnitra uvádí:</w:t>
      </w:r>
    </w:p>
    <w:p w:rsidR="00077C66" w:rsidRDefault="00077C66" w:rsidP="00077C66">
      <w:pPr>
        <w:pStyle w:val="Text"/>
        <w:jc w:val="both"/>
        <w:rPr>
          <w:b/>
        </w:rPr>
      </w:pPr>
    </w:p>
    <w:p w:rsidR="00077C66" w:rsidRPr="00096194" w:rsidRDefault="00077C66" w:rsidP="00077C66">
      <w:pPr>
        <w:pStyle w:val="Text"/>
        <w:jc w:val="both"/>
      </w:pPr>
      <w:r w:rsidRPr="00096194">
        <w:t xml:space="preserve">Ad 1) S městysem lze do určité míry souhlasit, že mezi skupinami poplatníků dle přihlášení a dle vlastnictví příslušné nemovité věci nečiní žádný rozdíl; </w:t>
      </w:r>
      <w:r w:rsidRPr="00096194">
        <w:lastRenderedPageBreak/>
        <w:t>neodůvodnitelný rozdíl je však činěn mezi poplatníky s bydlištěm na území městyse a poplatníky bez tohoto bydliště.</w:t>
      </w:r>
    </w:p>
    <w:p w:rsidR="00077C66" w:rsidRPr="00096194" w:rsidRDefault="00077C66" w:rsidP="00077C66">
      <w:pPr>
        <w:pStyle w:val="Text"/>
        <w:jc w:val="both"/>
      </w:pPr>
    </w:p>
    <w:p w:rsidR="00077C66" w:rsidRPr="00096194" w:rsidRDefault="00077C66" w:rsidP="00077C66">
      <w:pPr>
        <w:pStyle w:val="Text"/>
        <w:jc w:val="both"/>
      </w:pPr>
      <w:r w:rsidRPr="00096194">
        <w:rPr>
          <w:spacing w:val="-2"/>
        </w:rPr>
        <w:t>Ad 2) Jak již bylo uvedeno výše, již zákonodárce vtělil svojí představu o spravedlivém</w:t>
      </w:r>
      <w:r w:rsidRPr="00096194">
        <w:t xml:space="preserve"> rozložení nákladů za komunální odpad do příslušného poplatku a městys není oprávněn do tohoto rozložení zasahovat, neboť tím nepřípustně zasahuje do základní konstrukce poplatku.</w:t>
      </w:r>
      <w:r w:rsidR="00096194">
        <w:t xml:space="preserve"> Uvedený důvod navíc neodpovídá úlevě poskytnuté </w:t>
      </w:r>
      <w:r w:rsidR="00576DF1">
        <w:t xml:space="preserve">městysem </w:t>
      </w:r>
      <w:r w:rsidR="00096194">
        <w:t>v čl. 7 odst. 3 a 4 vyhlášky, která je vázána na bydliště v městysi bez ohledu na skutečnost, zda se jedná o poplatníka z důvodu pobytu či vlastnictví nemovité věci.</w:t>
      </w:r>
    </w:p>
    <w:p w:rsidR="00077C66" w:rsidRPr="00096194" w:rsidRDefault="00077C66" w:rsidP="00077C66">
      <w:pPr>
        <w:pStyle w:val="Text"/>
        <w:jc w:val="both"/>
      </w:pPr>
    </w:p>
    <w:p w:rsidR="00077C66" w:rsidRPr="00096194" w:rsidRDefault="00077C66" w:rsidP="00077C66">
      <w:pPr>
        <w:pStyle w:val="Text"/>
        <w:jc w:val="both"/>
      </w:pPr>
      <w:r w:rsidRPr="00096194">
        <w:t>Ad 3) </w:t>
      </w:r>
      <w:r w:rsidR="00A6247F">
        <w:t xml:space="preserve">Dle názoru Ministerstva vnitra nelze spatřit jakoukoliv přímou souvislost mezi více než ročním bydlištěm osob v městysi a výší úrovně třídění komunálního odpadu ze strany těchto osob. </w:t>
      </w:r>
      <w:r w:rsidR="009E7A40">
        <w:t>Dle názoru Ministerstva</w:t>
      </w:r>
      <w:r w:rsidRPr="00096194">
        <w:t xml:space="preserve"> vnitra osoby bez bydliště v městysi (tj. zejména osoby, které se v městysi fakticky nebudou zdržovat) budou v porovnání s osobami s bydlištěm na území městyse produkovat zpravidla menší objem odpadů.</w:t>
      </w:r>
      <w:r w:rsidR="00A6247F">
        <w:t xml:space="preserve"> Navíc se jedná, jak již bylo výše uvedeno, o poplatek paušálního charakteru.</w:t>
      </w:r>
    </w:p>
    <w:p w:rsidR="00077C66" w:rsidRPr="00096194" w:rsidRDefault="00077C66" w:rsidP="00077C66">
      <w:pPr>
        <w:pStyle w:val="Text"/>
        <w:jc w:val="both"/>
      </w:pPr>
    </w:p>
    <w:p w:rsidR="00077C66" w:rsidRDefault="00077C66" w:rsidP="00077C66">
      <w:pPr>
        <w:pStyle w:val="Text"/>
        <w:jc w:val="both"/>
      </w:pPr>
      <w:r w:rsidRPr="00096194">
        <w:t>Ad 4) </w:t>
      </w:r>
      <w:r w:rsidR="00617F04">
        <w:t>K</w:t>
      </w:r>
      <w:r w:rsidR="00A7140D">
        <w:t> uváděnému argumentu Ministerstvo vnitra uvádí</w:t>
      </w:r>
      <w:r w:rsidR="00617F04">
        <w:t xml:space="preserve">, že ve smyslu § 2 odst. 2 </w:t>
      </w:r>
      <w:r w:rsidR="00A7140D">
        <w:br/>
      </w:r>
      <w:r w:rsidR="00617F04">
        <w:t xml:space="preserve">a § 35 odst. 1 </w:t>
      </w:r>
      <w:r w:rsidR="00A7140D">
        <w:t>má obec pečovat</w:t>
      </w:r>
      <w:r w:rsidR="00617F04">
        <w:t xml:space="preserve"> o potřeby</w:t>
      </w:r>
      <w:r w:rsidR="00A7140D">
        <w:t xml:space="preserve"> svých občanů bez ohledu, zda a jak dlouho mají v městysi bydliště. Předmětným odůvodněním však městys fakticky přiznává v tomto případě péči o potřeby pouze určité skupině občanů městyse.</w:t>
      </w:r>
      <w:r w:rsidR="00AD6869">
        <w:t xml:space="preserve"> Současně odůvodnění opomíjí skutečnost, že městys zavádí odlišný přístup u </w:t>
      </w:r>
      <w:r w:rsidR="00F44F51">
        <w:t xml:space="preserve">dvou skupin </w:t>
      </w:r>
      <w:r w:rsidR="00AD6869">
        <w:t>„neobčanů“ městyse ve vazbě na délku jejich bydliště v městysi.</w:t>
      </w:r>
      <w:r w:rsidR="00E956E7">
        <w:t xml:space="preserve"> </w:t>
      </w:r>
    </w:p>
    <w:p w:rsidR="00E956E7" w:rsidRPr="00096194" w:rsidRDefault="00E956E7" w:rsidP="00077C66">
      <w:pPr>
        <w:pStyle w:val="Text"/>
        <w:jc w:val="both"/>
      </w:pPr>
    </w:p>
    <w:p w:rsidR="00077C66" w:rsidRPr="00096194" w:rsidRDefault="00077C66" w:rsidP="00077C66">
      <w:pPr>
        <w:pStyle w:val="Text"/>
        <w:jc w:val="both"/>
      </w:pPr>
      <w:r w:rsidRPr="00096194">
        <w:t xml:space="preserve">Ad 5) </w:t>
      </w:r>
      <w:r w:rsidR="00A6247F">
        <w:t>Uváděné vyšší náklady v několika odloučených rekreačních osadách nemohou</w:t>
      </w:r>
      <w:r w:rsidRPr="00096194">
        <w:t xml:space="preserve"> odůvodňovat stanovení odlišné výše poplatku, neboť, jak již bylo popsáno výše, se takovýmto postupem nepřípustně zasahuje do základního konstrukčního parametru daného poplatku.</w:t>
      </w:r>
      <w:r w:rsidR="009E7A40">
        <w:t xml:space="preserve"> Uvedený důvod navíc neodpovídá úlevě poskytnuté v čl. 7 odst. 3 </w:t>
      </w:r>
      <w:r w:rsidR="00A6247F">
        <w:br/>
      </w:r>
      <w:r w:rsidR="009E7A40">
        <w:t>a 4 vyhlášky, která je vázána na bydliště v městysi bez ohledu na skutečnost, zda se jedná o poplatníka z důvodu pobytu či vlastnictví nemovité věci.</w:t>
      </w:r>
    </w:p>
    <w:p w:rsidR="00077C66" w:rsidRDefault="00077C66" w:rsidP="00077C66">
      <w:pPr>
        <w:pStyle w:val="Text"/>
        <w:jc w:val="both"/>
        <w:rPr>
          <w:b/>
        </w:rPr>
      </w:pPr>
    </w:p>
    <w:p w:rsidR="00077C66" w:rsidRPr="00991657" w:rsidRDefault="00077C66" w:rsidP="00077C66">
      <w:pPr>
        <w:ind w:firstLine="709"/>
        <w:jc w:val="both"/>
      </w:pPr>
      <w:r w:rsidRPr="00991657">
        <w:rPr>
          <w:rFonts w:ascii="Arial" w:eastAsia="Arial" w:hAnsi="Arial" w:cs="Arial"/>
          <w:bCs/>
        </w:rPr>
        <w:t>Má-li městys za to, že jím zvolený místní poplatek za obecní systém odpadového hospodářství není ve vztahu k</w:t>
      </w:r>
      <w:r w:rsidRPr="00991657">
        <w:rPr>
          <w:rFonts w:ascii="Arial" w:eastAsia="Calibri" w:hAnsi="Arial" w:cs="Arial"/>
          <w:bCs/>
        </w:rPr>
        <w:t xml:space="preserve"> zákonem vymezeným kategoriím poplatníků spravedlivý, může zavést místní poplatek za odkládání komunálního odpadu z nemovité věci,</w:t>
      </w:r>
      <w:r w:rsidRPr="00991657">
        <w:t xml:space="preserve"> </w:t>
      </w:r>
      <w:r w:rsidRPr="00991657">
        <w:rPr>
          <w:rFonts w:ascii="Arial" w:eastAsia="Calibri" w:hAnsi="Arial" w:cs="Arial"/>
          <w:bCs/>
        </w:rPr>
        <w:t>který není paušálního charakteru, ale jeho výše se odvíjí od množství skutečně odkládaného odpadu z nemovité věci, případně dle volby městyse od poplatníkem objednané kapacity soustřeďovacích prostředků.</w:t>
      </w:r>
    </w:p>
    <w:p w:rsidR="00077C66" w:rsidRDefault="00077C66" w:rsidP="00077C66">
      <w:pPr>
        <w:pStyle w:val="Bezmezer"/>
        <w:jc w:val="both"/>
        <w:rPr>
          <w:rFonts w:ascii="Arial" w:hAnsi="Arial"/>
          <w:sz w:val="24"/>
          <w:szCs w:val="24"/>
          <w:lang w:eastAsia="x-none"/>
        </w:rPr>
      </w:pPr>
    </w:p>
    <w:p w:rsidR="00077C66" w:rsidRPr="00C911E2" w:rsidRDefault="00077C66" w:rsidP="00077C66">
      <w:pPr>
        <w:ind w:firstLine="709"/>
        <w:jc w:val="both"/>
        <w:rPr>
          <w:rFonts w:ascii="Arial" w:hAnsi="Arial"/>
          <w:b/>
        </w:rPr>
      </w:pPr>
      <w:r>
        <w:rPr>
          <w:rFonts w:ascii="Arial" w:hAnsi="Arial"/>
          <w:spacing w:val="-2"/>
        </w:rPr>
        <w:t xml:space="preserve">Ministerstvo vnitra </w:t>
      </w:r>
      <w:r w:rsidR="001309CA">
        <w:rPr>
          <w:rFonts w:ascii="Arial" w:hAnsi="Arial"/>
          <w:spacing w:val="-2"/>
        </w:rPr>
        <w:t xml:space="preserve">shledává </w:t>
      </w:r>
      <w:r w:rsidRPr="00991657">
        <w:rPr>
          <w:rFonts w:ascii="Arial" w:hAnsi="Arial"/>
          <w:spacing w:val="-2"/>
        </w:rPr>
        <w:t xml:space="preserve">odst. 3 a 4 </w:t>
      </w:r>
      <w:r w:rsidR="001309CA">
        <w:rPr>
          <w:rFonts w:ascii="Arial" w:hAnsi="Arial"/>
          <w:spacing w:val="-2"/>
        </w:rPr>
        <w:t>čl.</w:t>
      </w:r>
      <w:r>
        <w:rPr>
          <w:rFonts w:ascii="Arial" w:hAnsi="Arial"/>
          <w:spacing w:val="-2"/>
        </w:rPr>
        <w:t xml:space="preserve"> 7 </w:t>
      </w:r>
      <w:r w:rsidR="001309CA">
        <w:rPr>
          <w:rFonts w:ascii="Arial" w:hAnsi="Arial"/>
          <w:spacing w:val="-2"/>
        </w:rPr>
        <w:t>vyhlášky</w:t>
      </w:r>
      <w:r>
        <w:rPr>
          <w:rFonts w:ascii="Arial" w:hAnsi="Arial"/>
          <w:spacing w:val="-2"/>
        </w:rPr>
        <w:t xml:space="preserve"> </w:t>
      </w:r>
      <w:r w:rsidR="001309CA" w:rsidRPr="00991657">
        <w:rPr>
          <w:rFonts w:ascii="Arial" w:hAnsi="Arial"/>
        </w:rPr>
        <w:t>v rozporu se zákonem</w:t>
      </w:r>
      <w:r w:rsidR="001309CA" w:rsidRPr="00991657">
        <w:rPr>
          <w:rFonts w:ascii="Arial" w:hAnsi="Arial"/>
          <w:spacing w:val="-2"/>
        </w:rPr>
        <w:t xml:space="preserve"> </w:t>
      </w:r>
      <w:r w:rsidR="001309CA">
        <w:rPr>
          <w:rFonts w:ascii="Arial" w:hAnsi="Arial"/>
          <w:spacing w:val="-2"/>
        </w:rPr>
        <w:t xml:space="preserve">rovněž </w:t>
      </w:r>
      <w:r w:rsidRPr="00991657">
        <w:rPr>
          <w:rFonts w:ascii="Arial" w:hAnsi="Arial"/>
          <w:spacing w:val="-2"/>
        </w:rPr>
        <w:t>v části týkající se dokládání</w:t>
      </w:r>
      <w:r w:rsidRPr="00991657">
        <w:rPr>
          <w:rFonts w:ascii="Arial" w:hAnsi="Arial"/>
        </w:rPr>
        <w:t xml:space="preserve"> skutečností rozhodných pro poskytnutí úlev.</w:t>
      </w:r>
      <w:r>
        <w:rPr>
          <w:rFonts w:ascii="Arial" w:hAnsi="Arial"/>
          <w:b/>
        </w:rPr>
        <w:t xml:space="preserve"> </w:t>
      </w:r>
      <w:r>
        <w:rPr>
          <w:rFonts w:ascii="Arial" w:hAnsi="Arial" w:cs="Arial"/>
        </w:rPr>
        <w:t>Z dikce předmětných</w:t>
      </w:r>
      <w:r w:rsidRPr="005B6D75">
        <w:rPr>
          <w:rFonts w:ascii="Arial" w:hAnsi="Arial" w:cs="Arial"/>
        </w:rPr>
        <w:t xml:space="preserve"> ustanovení </w:t>
      </w:r>
      <w:r w:rsidR="001309CA">
        <w:rPr>
          <w:rFonts w:ascii="Arial" w:hAnsi="Arial" w:cs="Arial"/>
        </w:rPr>
        <w:t>vyhlášky</w:t>
      </w:r>
      <w:r w:rsidRPr="005B6D75">
        <w:rPr>
          <w:rFonts w:ascii="Arial" w:hAnsi="Arial" w:cs="Arial"/>
        </w:rPr>
        <w:t xml:space="preserve"> lze dospět k závěru, že městys podmínil vznik nároku na úlevu od poplatku doložením skutečnosti, že poplatník má na území městyse bydliště déle jak jeden rok. Uvedené znamená, že nárok na </w:t>
      </w:r>
      <w:r>
        <w:rPr>
          <w:rFonts w:ascii="Arial" w:hAnsi="Arial" w:cs="Arial"/>
        </w:rPr>
        <w:t xml:space="preserve">úlevu </w:t>
      </w:r>
      <w:r w:rsidRPr="005B6D75">
        <w:rPr>
          <w:rFonts w:ascii="Arial" w:hAnsi="Arial" w:cs="Arial"/>
        </w:rPr>
        <w:t xml:space="preserve">od poplatku </w:t>
      </w:r>
      <w:r w:rsidRPr="005B6D75">
        <w:rPr>
          <w:rFonts w:ascii="Arial" w:hAnsi="Arial" w:cs="Arial"/>
        </w:rPr>
        <w:lastRenderedPageBreak/>
        <w:t>poplatníkovi vznikne až v okamžiku, kdy bude vůči správci poplatku shora uvedeným způsobem jednat.</w:t>
      </w:r>
    </w:p>
    <w:p w:rsidR="00077C66" w:rsidRPr="00701A69" w:rsidRDefault="00077C66" w:rsidP="00077C66">
      <w:pPr>
        <w:jc w:val="both"/>
        <w:rPr>
          <w:rFonts w:ascii="Arial" w:hAnsi="Arial" w:cs="Arial"/>
        </w:rPr>
      </w:pPr>
    </w:p>
    <w:p w:rsidR="00077C66" w:rsidRPr="00701A69" w:rsidRDefault="00077C66" w:rsidP="00077C66">
      <w:pPr>
        <w:ind w:firstLine="709"/>
        <w:jc w:val="both"/>
        <w:rPr>
          <w:rFonts w:ascii="Arial" w:hAnsi="Arial" w:cs="Arial"/>
        </w:rPr>
      </w:pPr>
      <w:r w:rsidRPr="00701A69">
        <w:rPr>
          <w:rFonts w:ascii="Arial" w:hAnsi="Arial" w:cs="Arial"/>
        </w:rPr>
        <w:t xml:space="preserve">Interpretací shora uvedené podmínky pro vznik </w:t>
      </w:r>
      <w:r w:rsidRPr="005B6D75">
        <w:rPr>
          <w:rFonts w:ascii="Arial" w:hAnsi="Arial" w:cs="Arial"/>
        </w:rPr>
        <w:t>nároku na úlevu od poplatku lze dospět k závěru, že jejím smyslem a účelem je ulehčení správy poplatku. Záměrem obcí v obdobných případech je vyhnout se potencionálně náročnému dokazování skutečností rozhodných pro osvobození nebo úlevy od poplatku uvedených v</w:t>
      </w:r>
      <w:r>
        <w:rPr>
          <w:rFonts w:ascii="Arial" w:hAnsi="Arial" w:cs="Arial"/>
        </w:rPr>
        <w:t> </w:t>
      </w:r>
      <w:r w:rsidRPr="005B6D75">
        <w:rPr>
          <w:rFonts w:ascii="Arial" w:hAnsi="Arial" w:cs="Arial"/>
        </w:rPr>
        <w:t>ohlášení, a situacím, kdy poplatník jím ohlášené údaje v okamžiku podání</w:t>
      </w:r>
      <w:r w:rsidRPr="00701A69">
        <w:rPr>
          <w:rFonts w:ascii="Arial" w:hAnsi="Arial" w:cs="Arial"/>
        </w:rPr>
        <w:t xml:space="preserve"> ohlášení </w:t>
      </w:r>
      <w:r w:rsidRPr="005B6D75">
        <w:rPr>
          <w:rFonts w:ascii="Arial" w:hAnsi="Arial" w:cs="Arial"/>
        </w:rPr>
        <w:t>nikterak nedoloží a správce poplatku jej musí k jejich prokázání v souladu s § 92 odst. 4 zákona č. 280/2009 Sb., daňový řád, ve znění pozdějších předpisů (dále jen „daňový řád“) vyzývat.</w:t>
      </w:r>
    </w:p>
    <w:p w:rsidR="00077C66" w:rsidRPr="00701A69" w:rsidRDefault="00077C66" w:rsidP="00077C66">
      <w:pPr>
        <w:jc w:val="both"/>
        <w:rPr>
          <w:rFonts w:ascii="Arial" w:hAnsi="Arial" w:cs="Arial"/>
        </w:rPr>
      </w:pPr>
    </w:p>
    <w:p w:rsidR="00077C66" w:rsidRPr="005B6D75" w:rsidRDefault="00077C66" w:rsidP="00077C66">
      <w:pPr>
        <w:ind w:firstLine="709"/>
        <w:jc w:val="both"/>
        <w:rPr>
          <w:rFonts w:ascii="Arial" w:hAnsi="Arial" w:cs="Arial"/>
        </w:rPr>
      </w:pPr>
      <w:r w:rsidRPr="00701A69">
        <w:rPr>
          <w:rFonts w:ascii="Arial" w:hAnsi="Arial" w:cs="Arial"/>
        </w:rPr>
        <w:t xml:space="preserve">V této souvislosti Ministerstvo vnitra </w:t>
      </w:r>
      <w:r w:rsidR="001309CA">
        <w:rPr>
          <w:rFonts w:ascii="Arial" w:hAnsi="Arial" w:cs="Arial"/>
        </w:rPr>
        <w:t>konstatuje</w:t>
      </w:r>
      <w:r w:rsidRPr="00701A69">
        <w:rPr>
          <w:rFonts w:ascii="Arial" w:hAnsi="Arial" w:cs="Arial"/>
        </w:rPr>
        <w:t xml:space="preserve">, že při posuzování daného ustanovení pečlivě zvažovalo, zda jeho předmětnou část nelze chápat toliko jako informaci bez vlastních normativních účinků (tzv. </w:t>
      </w:r>
      <w:proofErr w:type="spellStart"/>
      <w:r w:rsidRPr="00701A69">
        <w:rPr>
          <w:rFonts w:ascii="Arial" w:hAnsi="Arial" w:cs="Arial"/>
          <w:i/>
        </w:rPr>
        <w:t>superfluum</w:t>
      </w:r>
      <w:proofErr w:type="spellEnd"/>
      <w:r w:rsidRPr="00701A69">
        <w:rPr>
          <w:rFonts w:ascii="Arial" w:hAnsi="Arial" w:cs="Arial"/>
        </w:rPr>
        <w:t xml:space="preserve">) o zákonné povinnosti plynoucí </w:t>
      </w:r>
      <w:r w:rsidRPr="005B6D75">
        <w:rPr>
          <w:rFonts w:ascii="Arial" w:hAnsi="Arial" w:cs="Arial"/>
        </w:rPr>
        <w:t>p</w:t>
      </w:r>
      <w:r>
        <w:rPr>
          <w:rFonts w:ascii="Arial" w:hAnsi="Arial" w:cs="Arial"/>
        </w:rPr>
        <w:t>oplatníkům z § 93 odst. 3 daňového</w:t>
      </w:r>
      <w:r w:rsidRPr="005B6D75">
        <w:rPr>
          <w:rFonts w:ascii="Arial" w:hAnsi="Arial" w:cs="Arial"/>
        </w:rPr>
        <w:t xml:space="preserve"> řád</w:t>
      </w:r>
      <w:r>
        <w:rPr>
          <w:rFonts w:ascii="Arial" w:hAnsi="Arial" w:cs="Arial"/>
        </w:rPr>
        <w:t>u</w:t>
      </w:r>
      <w:r w:rsidRPr="005B6D75">
        <w:rPr>
          <w:rFonts w:ascii="Arial" w:hAnsi="Arial" w:cs="Arial"/>
        </w:rPr>
        <w:t>, tj. o obecné povinnosti poplatníka prokazovat všechny skutečnosti uvedené v jeho ohlášení. S ohledem na jednoznačné jazykové znění předmětné části ustanovení (</w:t>
      </w:r>
      <w:r w:rsidRPr="005B6D75">
        <w:rPr>
          <w:rFonts w:ascii="Arial" w:hAnsi="Arial" w:cs="Arial"/>
          <w:i/>
        </w:rPr>
        <w:t>„…a která tuto skutečnost doloží správci poplatku</w:t>
      </w:r>
      <w:r w:rsidRPr="005B6D75">
        <w:rPr>
          <w:rFonts w:ascii="Arial" w:eastAsia="Calibri" w:hAnsi="Arial" w:cs="Arial"/>
          <w:i/>
        </w:rPr>
        <w:t>…“</w:t>
      </w:r>
      <w:r w:rsidRPr="005B6D75">
        <w:rPr>
          <w:rFonts w:ascii="Arial" w:eastAsia="Calibri" w:hAnsi="Arial" w:cs="Arial"/>
        </w:rPr>
        <w:t>)</w:t>
      </w:r>
      <w:r w:rsidRPr="005B6D75">
        <w:rPr>
          <w:rFonts w:ascii="Arial" w:hAnsi="Arial" w:cs="Arial"/>
          <w:i/>
        </w:rPr>
        <w:t xml:space="preserve"> </w:t>
      </w:r>
      <w:r w:rsidRPr="005B6D75">
        <w:rPr>
          <w:rFonts w:ascii="Arial" w:hAnsi="Arial" w:cs="Arial"/>
        </w:rPr>
        <w:t xml:space="preserve">a jeho zřejmý smysl a účel se však k tomuto závěru přiklonit nemohlo. </w:t>
      </w:r>
    </w:p>
    <w:p w:rsidR="00077C66" w:rsidRPr="00701A69" w:rsidRDefault="00077C66" w:rsidP="00077C66">
      <w:pPr>
        <w:jc w:val="both"/>
        <w:rPr>
          <w:rFonts w:ascii="Arial" w:hAnsi="Arial" w:cs="Arial"/>
        </w:rPr>
      </w:pPr>
    </w:p>
    <w:p w:rsidR="00077C66" w:rsidRPr="0082062D" w:rsidRDefault="00683F02" w:rsidP="00077C6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Ministerstvo vnitra</w:t>
      </w:r>
      <w:r w:rsidR="00077C66" w:rsidRPr="0082062D">
        <w:rPr>
          <w:rFonts w:ascii="Arial" w:hAnsi="Arial" w:cs="Arial"/>
          <w:spacing w:val="-5"/>
        </w:rPr>
        <w:t xml:space="preserve"> k</w:t>
      </w:r>
      <w:r w:rsidR="00077C66">
        <w:rPr>
          <w:rFonts w:ascii="Arial" w:hAnsi="Arial" w:cs="Arial"/>
          <w:spacing w:val="-5"/>
        </w:rPr>
        <w:t> </w:t>
      </w:r>
      <w:r w:rsidR="00077C66" w:rsidRPr="0082062D">
        <w:rPr>
          <w:rFonts w:ascii="Arial" w:hAnsi="Arial" w:cs="Arial"/>
          <w:spacing w:val="-5"/>
        </w:rPr>
        <w:t>problematice</w:t>
      </w:r>
      <w:r w:rsidR="00077C66">
        <w:rPr>
          <w:rFonts w:ascii="Arial" w:hAnsi="Arial" w:cs="Arial"/>
          <w:spacing w:val="-5"/>
        </w:rPr>
        <w:t xml:space="preserve"> doložení nároku na osvobození či úlevu jako</w:t>
      </w:r>
      <w:r w:rsidR="00077C66" w:rsidRPr="0082062D">
        <w:rPr>
          <w:rFonts w:ascii="Arial" w:hAnsi="Arial" w:cs="Arial"/>
          <w:spacing w:val="-5"/>
        </w:rPr>
        <w:t xml:space="preserve"> hmotněprávních podmínek </w:t>
      </w:r>
      <w:r w:rsidR="00077C66">
        <w:rPr>
          <w:rFonts w:ascii="Arial" w:hAnsi="Arial" w:cs="Arial"/>
          <w:spacing w:val="-5"/>
        </w:rPr>
        <w:t xml:space="preserve">pro jejich vznik </w:t>
      </w:r>
      <w:r w:rsidR="00077C66" w:rsidRPr="0082062D">
        <w:rPr>
          <w:rFonts w:ascii="Arial" w:hAnsi="Arial" w:cs="Arial"/>
          <w:spacing w:val="-5"/>
        </w:rPr>
        <w:t>konstatuje,</w:t>
      </w:r>
      <w:r w:rsidR="00077C66" w:rsidRPr="0082062D">
        <w:rPr>
          <w:rFonts w:ascii="Arial" w:hAnsi="Arial" w:cs="Arial"/>
        </w:rPr>
        <w:t xml:space="preserve"> že jejich stanovením dochází </w:t>
      </w:r>
      <w:r>
        <w:rPr>
          <w:rFonts w:ascii="Arial" w:hAnsi="Arial" w:cs="Arial"/>
        </w:rPr>
        <w:br/>
      </w:r>
      <w:r w:rsidR="00077C66" w:rsidRPr="00991657">
        <w:rPr>
          <w:rFonts w:ascii="Arial" w:hAnsi="Arial" w:cs="Arial"/>
        </w:rPr>
        <w:t>k nepřípustnému obcházení právní úpravy dokazování obsažené v daňovém řádu.</w:t>
      </w:r>
      <w:r w:rsidR="00077C66" w:rsidRPr="00820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077C66" w:rsidRPr="0082062D">
        <w:rPr>
          <w:rFonts w:ascii="Arial" w:hAnsi="Arial" w:cs="Arial"/>
        </w:rPr>
        <w:t xml:space="preserve">V obecné rovině totiž mají být poplatníkem ohlašované skutečnosti předmětem dokazování. Nejsou-li v poplatkovém řízení tvrzené (ohlašované) skutečnosti prokázány (resp. je-li zde stav </w:t>
      </w:r>
      <w:r w:rsidR="00077C66" w:rsidRPr="0082062D">
        <w:rPr>
          <w:rFonts w:ascii="Arial" w:hAnsi="Arial" w:cs="Arial"/>
          <w:i/>
        </w:rPr>
        <w:t xml:space="preserve">non </w:t>
      </w:r>
      <w:proofErr w:type="spellStart"/>
      <w:r w:rsidR="00077C66" w:rsidRPr="0082062D">
        <w:rPr>
          <w:rFonts w:ascii="Arial" w:hAnsi="Arial" w:cs="Arial"/>
          <w:i/>
        </w:rPr>
        <w:t>liquet</w:t>
      </w:r>
      <w:proofErr w:type="spellEnd"/>
      <w:r w:rsidR="00077C66" w:rsidRPr="0082062D">
        <w:rPr>
          <w:rFonts w:ascii="Arial" w:hAnsi="Arial" w:cs="Arial"/>
        </w:rPr>
        <w:t xml:space="preserve">), má uvedená skutečnost za následek neunesení důkazního břemene poplatníka a nemožnost uplatnění jím tvrzeného nároku na osvobození nebo úlevu od poplatku. Dokazování při správě poplatku probíhá v souladu se zásadou součinnosti poplatníka a správce poplatku </w:t>
      </w:r>
      <w:r w:rsidR="00077C66">
        <w:rPr>
          <w:rFonts w:ascii="Arial" w:hAnsi="Arial" w:cs="Arial"/>
        </w:rPr>
        <w:br/>
      </w:r>
      <w:r w:rsidR="00077C66" w:rsidRPr="0082062D">
        <w:rPr>
          <w:rFonts w:ascii="Arial" w:hAnsi="Arial" w:cs="Arial"/>
        </w:rPr>
        <w:t>(§ 6 odst. 2 daňového řádu), poplatník může správci poplatku navrhovat provedení širokého spektra důkazních prostředku (§ 93 daňového řádu), které se provádějí zákonem stanoveným způsobem (§ 94 a násl. daňového řádu), přičemž správce poplatku důkazy hodnotí v souladu se zásadou volného hodnocení důkazů (§ 8 odst. 1 daňového řádu).</w:t>
      </w:r>
    </w:p>
    <w:p w:rsidR="00077C66" w:rsidRPr="00701A69" w:rsidRDefault="00077C66" w:rsidP="00077C66">
      <w:pPr>
        <w:jc w:val="both"/>
        <w:rPr>
          <w:rFonts w:ascii="Arial" w:hAnsi="Arial" w:cs="Arial"/>
        </w:rPr>
      </w:pPr>
    </w:p>
    <w:p w:rsidR="00077C66" w:rsidRDefault="00077C66" w:rsidP="00077C66">
      <w:pPr>
        <w:ind w:firstLine="709"/>
        <w:jc w:val="both"/>
        <w:rPr>
          <w:rFonts w:ascii="Arial" w:hAnsi="Arial" w:cs="Arial"/>
        </w:rPr>
      </w:pPr>
      <w:r w:rsidRPr="005B6D75">
        <w:rPr>
          <w:rFonts w:ascii="Arial" w:hAnsi="Arial" w:cs="Arial"/>
        </w:rPr>
        <w:t xml:space="preserve">Stanoví-li městys ve své </w:t>
      </w:r>
      <w:r w:rsidR="001309CA">
        <w:rPr>
          <w:rFonts w:ascii="Arial" w:hAnsi="Arial" w:cs="Arial"/>
        </w:rPr>
        <w:t>vyhlášce</w:t>
      </w:r>
      <w:r w:rsidRPr="005B6D75">
        <w:rPr>
          <w:rFonts w:ascii="Arial" w:hAnsi="Arial" w:cs="Arial"/>
        </w:rPr>
        <w:t xml:space="preserve"> jako podmínku pro samotný vznik nároku na úlevu od poplatku prokázání předmětných skutečností, pak touto hmotněprávní podmínkou fakticky nahrazuje shora uvedenou procesní úpravu dokazování (smysl </w:t>
      </w:r>
      <w:r w:rsidR="00252C0B">
        <w:rPr>
          <w:rFonts w:ascii="Arial" w:hAnsi="Arial" w:cs="Arial"/>
        </w:rPr>
        <w:br/>
      </w:r>
      <w:r w:rsidRPr="005B6D75">
        <w:rPr>
          <w:rFonts w:ascii="Arial" w:hAnsi="Arial" w:cs="Arial"/>
        </w:rPr>
        <w:t xml:space="preserve">a účel předmětné hmotněprávní podmínky a procesního dokazování je </w:t>
      </w:r>
      <w:r w:rsidRPr="005B6D75">
        <w:rPr>
          <w:rFonts w:ascii="Arial" w:hAnsi="Arial" w:cs="Arial"/>
          <w:i/>
        </w:rPr>
        <w:t>de facto</w:t>
      </w:r>
      <w:r w:rsidRPr="005B6D75">
        <w:rPr>
          <w:rFonts w:ascii="Arial" w:hAnsi="Arial" w:cs="Arial"/>
        </w:rPr>
        <w:t xml:space="preserve"> totožný – potvrdit správnost a pravdivost určitých skutečností), a tím i nepřípustně omezuje procesní práva osob zúčastněných na správě poplatku</w:t>
      </w:r>
      <w:r w:rsidRPr="00701A69">
        <w:rPr>
          <w:rFonts w:ascii="Arial" w:hAnsi="Arial" w:cs="Arial"/>
        </w:rPr>
        <w:t>.</w:t>
      </w:r>
    </w:p>
    <w:p w:rsidR="00077C66" w:rsidRPr="00701A69" w:rsidRDefault="00077C66" w:rsidP="00077C66">
      <w:pPr>
        <w:jc w:val="both"/>
        <w:rPr>
          <w:rFonts w:ascii="Arial" w:hAnsi="Arial" w:cs="Arial"/>
        </w:rPr>
      </w:pPr>
    </w:p>
    <w:p w:rsidR="00077C66" w:rsidRDefault="00077C66" w:rsidP="001309CA">
      <w:pPr>
        <w:autoSpaceDE w:val="0"/>
        <w:autoSpaceDN w:val="0"/>
        <w:ind w:firstLine="709"/>
        <w:jc w:val="both"/>
        <w:rPr>
          <w:rFonts w:cs="Arial"/>
          <w:bCs/>
        </w:rPr>
      </w:pPr>
      <w:r w:rsidRPr="00B96304">
        <w:rPr>
          <w:rFonts w:ascii="Arial" w:hAnsi="Arial" w:cs="Arial"/>
        </w:rPr>
        <w:lastRenderedPageBreak/>
        <w:t xml:space="preserve">Ministerstvo vnitra konstatuje, že </w:t>
      </w:r>
      <w:r w:rsidR="001309CA">
        <w:rPr>
          <w:rFonts w:ascii="Arial" w:hAnsi="Arial" w:cs="Arial"/>
        </w:rPr>
        <w:t>vyhláška</w:t>
      </w:r>
      <w:r w:rsidRPr="00B96304">
        <w:rPr>
          <w:rFonts w:ascii="Arial" w:hAnsi="Arial" w:cs="Arial"/>
        </w:rPr>
        <w:t xml:space="preserve"> byla v čl. 7 odst. 3 a 4 shledána </w:t>
      </w:r>
      <w:r w:rsidR="00252C0B">
        <w:rPr>
          <w:rFonts w:ascii="Arial" w:hAnsi="Arial" w:cs="Arial"/>
        </w:rPr>
        <w:br/>
      </w:r>
      <w:r w:rsidRPr="00B96304">
        <w:rPr>
          <w:rFonts w:ascii="Arial" w:hAnsi="Arial" w:cs="Arial"/>
        </w:rPr>
        <w:t>v rozporu s čl. 1 Listiny základních práv a svobod, s § 10e a násl. zákona o místních poplatcích a s § 92 daňového řádu.</w:t>
      </w:r>
    </w:p>
    <w:p w:rsidR="00077C66" w:rsidRDefault="00077C66" w:rsidP="00077C66">
      <w:pPr>
        <w:pStyle w:val="Zkladntext0"/>
        <w:spacing w:line="240" w:lineRule="auto"/>
        <w:jc w:val="both"/>
        <w:rPr>
          <w:rFonts w:cs="Arial"/>
          <w:bCs/>
        </w:rPr>
      </w:pPr>
      <w:r>
        <w:rPr>
          <w:rFonts w:cs="Arial"/>
          <w:bCs/>
          <w:sz w:val="24"/>
          <w:szCs w:val="24"/>
        </w:rPr>
        <w:tab/>
      </w:r>
    </w:p>
    <w:p w:rsidR="00077C66" w:rsidRDefault="00077C66" w:rsidP="00077C66">
      <w:pPr>
        <w:pStyle w:val="Zkladntext"/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Vzhledem k tomu, že se účastník řízení neztotožňuje s právním názorem Ministerstva vnitra a z jeho jednání vyplývá, že zde není dán předpoklad, že by ke zjednání nápravy vyhlášky přistoupil, Ministerstvo vnitra stanovilo </w:t>
      </w:r>
      <w:r>
        <w:rPr>
          <w:rFonts w:ascii="Arial" w:hAnsi="Arial" w:cs="Arial"/>
          <w:b/>
        </w:rPr>
        <w:t>k provedení nápravy vyhlášky lhůtu 15 dnů ode dne doručení rozhodnutí</w:t>
      </w:r>
      <w:r>
        <w:rPr>
          <w:rFonts w:ascii="Arial" w:hAnsi="Arial" w:cs="Arial"/>
        </w:rPr>
        <w:t>.</w:t>
      </w:r>
    </w:p>
    <w:p w:rsidR="00077C66" w:rsidRDefault="00077C66" w:rsidP="00077C66">
      <w:pPr>
        <w:pStyle w:val="Zkladntext"/>
        <w:spacing w:after="0" w:line="300" w:lineRule="exact"/>
        <w:rPr>
          <w:rFonts w:ascii="Arial" w:hAnsi="Arial" w:cs="Arial"/>
        </w:rPr>
      </w:pPr>
    </w:p>
    <w:p w:rsidR="00077C66" w:rsidRDefault="00077C66" w:rsidP="00077C66">
      <w:pPr>
        <w:pStyle w:val="Zkladntext"/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Městys Frymburk dle ustanovení § 123 odst. 1 zákona o obcích v případě zjednání nápravy bude informovat Ministerstvo vnitra o zjednané nápravě, aby bylo možno Ministerstvem vnitra toto rozhodnutí zrušit neprodleně po obdržení informace o zjednání nápravy. Přílohou této informace o zjednání nápravy bude i příslušná obecně závazná vyhláška, kterou bude náprava provedena.</w:t>
      </w:r>
    </w:p>
    <w:p w:rsidR="00077C66" w:rsidRDefault="00077C66" w:rsidP="00077C66">
      <w:pPr>
        <w:pStyle w:val="Zkladntext"/>
        <w:spacing w:after="0" w:line="300" w:lineRule="exact"/>
        <w:jc w:val="both"/>
        <w:rPr>
          <w:rFonts w:ascii="Arial" w:hAnsi="Arial" w:cs="Arial"/>
        </w:rPr>
      </w:pPr>
    </w:p>
    <w:p w:rsidR="00077C66" w:rsidRDefault="00077C66" w:rsidP="00077C66">
      <w:pPr>
        <w:pStyle w:val="Zkladntext"/>
        <w:spacing w:after="0" w:line="300" w:lineRule="exact"/>
        <w:jc w:val="both"/>
        <w:rPr>
          <w:rFonts w:ascii="Arial" w:eastAsia="MS Mincho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Účinnost</w:t>
      </w:r>
      <w:r>
        <w:rPr>
          <w:rFonts w:ascii="Arial" w:hAnsi="Arial" w:cs="Arial"/>
        </w:rPr>
        <w:t xml:space="preserve"> </w:t>
      </w:r>
      <w:r w:rsidR="001309CA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7 odst. 3 a 4 vyhlášky je pozastavena </w:t>
      </w:r>
      <w:r>
        <w:rPr>
          <w:rFonts w:ascii="Arial" w:hAnsi="Arial" w:cs="Arial"/>
          <w:b/>
        </w:rPr>
        <w:t>dnem doručení</w:t>
      </w:r>
      <w:r>
        <w:rPr>
          <w:rFonts w:ascii="Arial" w:hAnsi="Arial" w:cs="Arial"/>
        </w:rPr>
        <w:t xml:space="preserve"> tohoto rozhodnutí účastníku řízení.</w:t>
      </w:r>
    </w:p>
    <w:p w:rsidR="00077C66" w:rsidRDefault="00077C66" w:rsidP="00077C66">
      <w:pPr>
        <w:pStyle w:val="Zkladntext"/>
        <w:spacing w:after="0" w:line="300" w:lineRule="exact"/>
        <w:jc w:val="center"/>
        <w:rPr>
          <w:rFonts w:ascii="Arial" w:eastAsia="MS Mincho" w:hAnsi="Arial" w:cs="Arial"/>
          <w:b/>
        </w:rPr>
      </w:pPr>
    </w:p>
    <w:p w:rsidR="00077C66" w:rsidRDefault="00077C66" w:rsidP="00077C66">
      <w:pPr>
        <w:pStyle w:val="Zkladntext"/>
        <w:spacing w:after="0" w:line="300" w:lineRule="exact"/>
        <w:jc w:val="both"/>
        <w:rPr>
          <w:rFonts w:ascii="Arial" w:hAnsi="Arial" w:cs="Arial"/>
          <w:b/>
          <w:bCs/>
        </w:rPr>
      </w:pPr>
      <w:r>
        <w:rPr>
          <w:rFonts w:ascii="Arial" w:eastAsia="MS Mincho" w:hAnsi="Arial" w:cs="Arial"/>
          <w:b/>
        </w:rPr>
        <w:tab/>
      </w:r>
    </w:p>
    <w:p w:rsidR="00077C66" w:rsidRDefault="00077C66" w:rsidP="00077C66">
      <w:pPr>
        <w:spacing w:line="30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 o u č e n í   o   </w:t>
      </w:r>
      <w:proofErr w:type="spellStart"/>
      <w:r>
        <w:rPr>
          <w:rFonts w:ascii="Arial" w:hAnsi="Arial" w:cs="Arial"/>
          <w:b/>
          <w:bCs/>
        </w:rPr>
        <w:t>o</w:t>
      </w:r>
      <w:proofErr w:type="spellEnd"/>
      <w:r>
        <w:rPr>
          <w:rFonts w:ascii="Arial" w:hAnsi="Arial" w:cs="Arial"/>
          <w:b/>
          <w:bCs/>
        </w:rPr>
        <w:t xml:space="preserve"> p r a v n é m   p r o s t ř e d k u:</w:t>
      </w:r>
    </w:p>
    <w:p w:rsidR="00077C66" w:rsidRDefault="00077C66" w:rsidP="00077C66">
      <w:pPr>
        <w:pStyle w:val="Zkladntext"/>
        <w:spacing w:after="0" w:line="300" w:lineRule="exact"/>
        <w:jc w:val="center"/>
        <w:rPr>
          <w:rFonts w:ascii="Arial" w:eastAsia="MS Mincho" w:hAnsi="Arial" w:cs="Arial"/>
          <w:b/>
        </w:rPr>
      </w:pPr>
    </w:p>
    <w:p w:rsidR="00077C66" w:rsidRDefault="00077C66" w:rsidP="00077C66">
      <w:pPr>
        <w:pStyle w:val="Zkladntextodsazen"/>
        <w:spacing w:line="300" w:lineRule="exact"/>
        <w:ind w:firstLine="539"/>
        <w:rPr>
          <w:rFonts w:ascii="Arial" w:hAnsi="Arial" w:cs="Arial"/>
        </w:rPr>
      </w:pPr>
      <w:r>
        <w:rPr>
          <w:rFonts w:ascii="Arial" w:hAnsi="Arial" w:cs="Arial"/>
        </w:rPr>
        <w:t xml:space="preserve">Proti tomuto rozhodnutí lze podle § 152 odst. 1 správního řádu podat rozklad ve lhůtě 15 dnů ode dne jeho oznámení (§ 83 odst. 1 správního řádu). Rozklad se podává ministrovi vnitra prostřednictvím Ministerstva vnitra, odboru veřejné správy, dozoru </w:t>
      </w:r>
      <w:r w:rsidR="00252C0B">
        <w:rPr>
          <w:rFonts w:ascii="Arial" w:hAnsi="Arial" w:cs="Arial"/>
        </w:rPr>
        <w:br/>
      </w:r>
      <w:r>
        <w:rPr>
          <w:rFonts w:ascii="Arial" w:hAnsi="Arial" w:cs="Arial"/>
        </w:rPr>
        <w:t>a kontroly, nám. Hrdinů 3, 140 21 Praha 4. Podání rozkladu nemá odkladný účinek.</w:t>
      </w:r>
    </w:p>
    <w:p w:rsidR="00077C66" w:rsidRDefault="00077C66" w:rsidP="00077C66">
      <w:pPr>
        <w:pStyle w:val="Text"/>
        <w:spacing w:line="300" w:lineRule="exact"/>
      </w:pPr>
    </w:p>
    <w:p w:rsidR="00077C66" w:rsidRDefault="00077C66" w:rsidP="00077C66">
      <w:pPr>
        <w:pStyle w:val="Text"/>
        <w:spacing w:line="300" w:lineRule="exact"/>
      </w:pPr>
    </w:p>
    <w:p w:rsidR="00077C66" w:rsidRDefault="00077C66" w:rsidP="00077C66">
      <w:pPr>
        <w:pStyle w:val="Text"/>
        <w:spacing w:line="300" w:lineRule="exact"/>
        <w:rPr>
          <w:i/>
        </w:rPr>
      </w:pPr>
      <w:r>
        <w:rPr>
          <w:i/>
        </w:rPr>
        <w:t xml:space="preserve">  </w:t>
      </w:r>
    </w:p>
    <w:p w:rsidR="00077C66" w:rsidRDefault="00077C66" w:rsidP="00077C66">
      <w:pPr>
        <w:pStyle w:val="Text"/>
        <w:spacing w:line="300" w:lineRule="exact"/>
        <w:rPr>
          <w:i/>
          <w:sz w:val="20"/>
          <w:szCs w:val="20"/>
        </w:rPr>
      </w:pPr>
      <w:r>
        <w:rPr>
          <w:i/>
        </w:rPr>
        <w:t xml:space="preserve">              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077C66" w:rsidTr="007B599D">
        <w:tc>
          <w:tcPr>
            <w:tcW w:w="4020" w:type="dxa"/>
            <w:hideMark/>
          </w:tcPr>
          <w:p w:rsidR="00077C66" w:rsidRDefault="00077C66" w:rsidP="007B599D">
            <w:pPr>
              <w:pStyle w:val="Text"/>
              <w:jc w:val="center"/>
            </w:pPr>
            <w:r>
              <w:fldChar w:fldCharType="begin">
                <w:ffData>
                  <w:name w:val="ssl_spis_schref1"/>
                  <w:enabled w:val="0"/>
                  <w:calcOnExit w:val="0"/>
                  <w:textInput>
                    <w:default w:val="Ing. Bc. Miroslav Veselý"/>
                  </w:textInput>
                </w:ffData>
              </w:fldChar>
            </w:r>
            <w:bookmarkStart w:id="9" w:name="ssl_spis_schref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Bc. Miroslav Veselý</w:t>
            </w:r>
            <w:r>
              <w:fldChar w:fldCharType="end"/>
            </w:r>
            <w:bookmarkEnd w:id="9"/>
          </w:p>
        </w:tc>
      </w:tr>
      <w:tr w:rsidR="00077C66" w:rsidTr="007B599D">
        <w:tc>
          <w:tcPr>
            <w:tcW w:w="4020" w:type="dxa"/>
          </w:tcPr>
          <w:p w:rsidR="00077C66" w:rsidRDefault="00077C66" w:rsidP="007B599D">
            <w:pPr>
              <w:pStyle w:val="Text"/>
              <w:jc w:val="center"/>
            </w:pPr>
            <w:r>
              <w:fldChar w:fldCharType="begin">
                <w:ffData>
                  <w:name w:val="ssl_spis_schfun"/>
                  <w:enabled w:val="0"/>
                  <w:calcOnExit w:val="0"/>
                  <w:textInput>
                    <w:default w:val="ředitel odboru"/>
                  </w:textInput>
                </w:ffData>
              </w:fldChar>
            </w:r>
            <w:bookmarkStart w:id="10" w:name="ssl_spis_schfu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ředitel odboru</w:t>
            </w:r>
            <w:r>
              <w:fldChar w:fldCharType="end"/>
            </w:r>
            <w:bookmarkEnd w:id="10"/>
          </w:p>
          <w:p w:rsidR="00077C66" w:rsidRDefault="00077C66" w:rsidP="007B599D">
            <w:pPr>
              <w:pStyle w:val="Text"/>
              <w:jc w:val="center"/>
              <w:rPr>
                <w:sz w:val="22"/>
                <w:szCs w:val="22"/>
              </w:rPr>
            </w:pPr>
          </w:p>
        </w:tc>
      </w:tr>
      <w:tr w:rsidR="00077C66" w:rsidTr="007B599D">
        <w:tc>
          <w:tcPr>
            <w:tcW w:w="4020" w:type="dxa"/>
          </w:tcPr>
          <w:p w:rsidR="00077C66" w:rsidRDefault="00077C66" w:rsidP="007B599D">
            <w:pPr>
              <w:pStyle w:val="Text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077C66" w:rsidRDefault="00077C66" w:rsidP="00077C66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  <w:bookmarkStart w:id="11" w:name="_GoBack"/>
      <w:bookmarkEnd w:id="11"/>
      <w:r>
        <w:rPr>
          <w:sz w:val="20"/>
          <w:szCs w:val="20"/>
          <w:u w:val="single"/>
        </w:rPr>
        <w:t>Rozdělovník:</w:t>
      </w:r>
    </w:p>
    <w:p w:rsidR="00077C66" w:rsidRDefault="00077C66" w:rsidP="00077C66">
      <w:pPr>
        <w:pStyle w:val="Text"/>
        <w:tabs>
          <w:tab w:val="left" w:pos="900"/>
        </w:tabs>
        <w:spacing w:line="300" w:lineRule="exact"/>
        <w:rPr>
          <w:sz w:val="20"/>
          <w:szCs w:val="20"/>
        </w:rPr>
      </w:pPr>
    </w:p>
    <w:p w:rsidR="00077C66" w:rsidRDefault="00077C66" w:rsidP="00077C66">
      <w:pPr>
        <w:pStyle w:val="Text"/>
        <w:numPr>
          <w:ilvl w:val="0"/>
          <w:numId w:val="2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Originál rozhodnutí zůstane součástí správního spisu. </w:t>
      </w:r>
    </w:p>
    <w:p w:rsidR="00077C66" w:rsidRPr="00B23517" w:rsidRDefault="00077C66" w:rsidP="00077C66">
      <w:pPr>
        <w:pStyle w:val="Text"/>
        <w:numPr>
          <w:ilvl w:val="0"/>
          <w:numId w:val="2"/>
        </w:numPr>
        <w:spacing w:line="300" w:lineRule="exact"/>
        <w:ind w:left="284" w:hanging="284"/>
        <w:jc w:val="both"/>
        <w:rPr>
          <w:sz w:val="20"/>
          <w:szCs w:val="20"/>
        </w:rPr>
      </w:pPr>
      <w:r w:rsidRPr="00B23517">
        <w:rPr>
          <w:sz w:val="20"/>
          <w:szCs w:val="20"/>
        </w:rPr>
        <w:t xml:space="preserve">Stejnopis rozhodnutí bude v souladu s § 76 odst. 3 správního řádu, ve spojení s § 72 odst. 1 a  § 19 odst. 4 správního řádu, oznámen účastníkovi řízení – </w:t>
      </w:r>
      <w:r>
        <w:rPr>
          <w:sz w:val="20"/>
          <w:szCs w:val="20"/>
        </w:rPr>
        <w:t>městysi Frymburk</w:t>
      </w:r>
      <w:r w:rsidRPr="00B23517">
        <w:rPr>
          <w:sz w:val="20"/>
          <w:szCs w:val="20"/>
        </w:rPr>
        <w:t xml:space="preserve"> – doručením do datové schránky.</w:t>
      </w:r>
    </w:p>
    <w:p w:rsidR="009D1276" w:rsidRPr="0079433D" w:rsidRDefault="009D1276" w:rsidP="00077C66">
      <w:pPr>
        <w:pStyle w:val="Text"/>
        <w:rPr>
          <w:sz w:val="20"/>
          <w:szCs w:val="20"/>
        </w:rPr>
      </w:pPr>
    </w:p>
    <w:sectPr w:rsidR="009D1276" w:rsidRPr="0079433D" w:rsidSect="001C2512">
      <w:headerReference w:type="default" r:id="rId7"/>
      <w:footerReference w:type="even" r:id="rId8"/>
      <w:footerReference w:type="default" r:id="rId9"/>
      <w:pgSz w:w="11906" w:h="16838" w:code="9"/>
      <w:pgMar w:top="2552" w:right="1134" w:bottom="1985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AF" w:rsidRDefault="00BF0DAF">
      <w:r>
        <w:separator/>
      </w:r>
    </w:p>
  </w:endnote>
  <w:endnote w:type="continuationSeparator" w:id="0">
    <w:p w:rsidR="00BF0DAF" w:rsidRDefault="00BF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6245">
      <w:rPr>
        <w:rStyle w:val="slostrnky"/>
        <w:noProof/>
      </w:rPr>
      <w:t>7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AF" w:rsidRDefault="00BF0DAF">
      <w:r>
        <w:separator/>
      </w:r>
    </w:p>
  </w:footnote>
  <w:footnote w:type="continuationSeparator" w:id="0">
    <w:p w:rsidR="00BF0DAF" w:rsidRDefault="00BF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C88"/>
    <w:multiLevelType w:val="hybridMultilevel"/>
    <w:tmpl w:val="217A94BC"/>
    <w:lvl w:ilvl="0" w:tplc="BC44338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BA4CC9"/>
    <w:multiLevelType w:val="hybridMultilevel"/>
    <w:tmpl w:val="FA7AA0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AF"/>
    <w:rsid w:val="00016737"/>
    <w:rsid w:val="00021D22"/>
    <w:rsid w:val="000321A2"/>
    <w:rsid w:val="00036088"/>
    <w:rsid w:val="0003781F"/>
    <w:rsid w:val="0004248A"/>
    <w:rsid w:val="00077C66"/>
    <w:rsid w:val="000801FB"/>
    <w:rsid w:val="00082E19"/>
    <w:rsid w:val="00086245"/>
    <w:rsid w:val="00096194"/>
    <w:rsid w:val="000D6BCE"/>
    <w:rsid w:val="001309CA"/>
    <w:rsid w:val="00130B82"/>
    <w:rsid w:val="00141387"/>
    <w:rsid w:val="00147C8D"/>
    <w:rsid w:val="001619BB"/>
    <w:rsid w:val="001A3A27"/>
    <w:rsid w:val="001B5A4B"/>
    <w:rsid w:val="001C2512"/>
    <w:rsid w:val="001F1002"/>
    <w:rsid w:val="002000C3"/>
    <w:rsid w:val="00245F8C"/>
    <w:rsid w:val="00252C0B"/>
    <w:rsid w:val="002779E7"/>
    <w:rsid w:val="00291196"/>
    <w:rsid w:val="002A4440"/>
    <w:rsid w:val="002F7EC7"/>
    <w:rsid w:val="00316BCE"/>
    <w:rsid w:val="00324A57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76DF1"/>
    <w:rsid w:val="00581EF1"/>
    <w:rsid w:val="005942C7"/>
    <w:rsid w:val="005E7E43"/>
    <w:rsid w:val="005F6D82"/>
    <w:rsid w:val="00614F7D"/>
    <w:rsid w:val="00617F04"/>
    <w:rsid w:val="00653A5B"/>
    <w:rsid w:val="00657767"/>
    <w:rsid w:val="0066105D"/>
    <w:rsid w:val="00661399"/>
    <w:rsid w:val="006639D0"/>
    <w:rsid w:val="00671736"/>
    <w:rsid w:val="00683F02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B3ABE"/>
    <w:rsid w:val="009D1276"/>
    <w:rsid w:val="009D5A08"/>
    <w:rsid w:val="009E7A40"/>
    <w:rsid w:val="00A56885"/>
    <w:rsid w:val="00A6247F"/>
    <w:rsid w:val="00A661C5"/>
    <w:rsid w:val="00A709BF"/>
    <w:rsid w:val="00A7140D"/>
    <w:rsid w:val="00A74966"/>
    <w:rsid w:val="00A907C2"/>
    <w:rsid w:val="00A91D2E"/>
    <w:rsid w:val="00AB1A89"/>
    <w:rsid w:val="00AD1308"/>
    <w:rsid w:val="00AD3BE4"/>
    <w:rsid w:val="00AD6869"/>
    <w:rsid w:val="00AD72D8"/>
    <w:rsid w:val="00AF6280"/>
    <w:rsid w:val="00B375EC"/>
    <w:rsid w:val="00B51755"/>
    <w:rsid w:val="00B521BF"/>
    <w:rsid w:val="00B603EA"/>
    <w:rsid w:val="00B7016D"/>
    <w:rsid w:val="00B7045A"/>
    <w:rsid w:val="00B775D1"/>
    <w:rsid w:val="00B9651D"/>
    <w:rsid w:val="00BB03C5"/>
    <w:rsid w:val="00BF0DAF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13738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956E7"/>
    <w:rsid w:val="00ED279B"/>
    <w:rsid w:val="00EF39B0"/>
    <w:rsid w:val="00F064BA"/>
    <w:rsid w:val="00F137F1"/>
    <w:rsid w:val="00F217DA"/>
    <w:rsid w:val="00F2775E"/>
    <w:rsid w:val="00F32120"/>
    <w:rsid w:val="00F36ED6"/>
    <w:rsid w:val="00F44F51"/>
    <w:rsid w:val="00FD0EC4"/>
    <w:rsid w:val="00FD6D9D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CB8522"/>
  <w15:docId w15:val="{DADC3524-849B-4580-9E84-E50B2C8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077C66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077C66"/>
    <w:pPr>
      <w:ind w:firstLine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77C66"/>
    <w:rPr>
      <w:sz w:val="24"/>
      <w:szCs w:val="24"/>
    </w:rPr>
  </w:style>
  <w:style w:type="paragraph" w:customStyle="1" w:styleId="Zkladntext0">
    <w:name w:val="Základní text~"/>
    <w:basedOn w:val="Normln"/>
    <w:rsid w:val="00077C66"/>
    <w:pPr>
      <w:widowControl w:val="0"/>
      <w:spacing w:line="288" w:lineRule="auto"/>
    </w:pPr>
    <w:rPr>
      <w:rFonts w:ascii="Arial" w:hAnsi="Arial"/>
      <w:noProof/>
      <w:sz w:val="20"/>
      <w:szCs w:val="20"/>
    </w:rPr>
  </w:style>
  <w:style w:type="character" w:customStyle="1" w:styleId="TextChar">
    <w:name w:val="Text Char"/>
    <w:link w:val="Text"/>
    <w:qFormat/>
    <w:locked/>
    <w:rsid w:val="00077C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077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garr\AppData\Local\Temp\1AFE55C5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1AFE55C5.doc</Template>
  <TotalTime>203</TotalTime>
  <Pages>8</Pages>
  <Words>2950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ZUGAR Radek, Mgr.</dc:creator>
  <cp:lastModifiedBy>ZUGAR Radek, Mgr.</cp:lastModifiedBy>
  <cp:revision>18</cp:revision>
  <cp:lastPrinted>2022-07-19T11:19:00Z</cp:lastPrinted>
  <dcterms:created xsi:type="dcterms:W3CDTF">2022-07-19T08:42:00Z</dcterms:created>
  <dcterms:modified xsi:type="dcterms:W3CDTF">2022-07-20T10:07:00Z</dcterms:modified>
</cp:coreProperties>
</file>