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0" w:hanging="2"/>
        <w:jc w:val="center"/>
        <w:rPr>
          <w:rFonts w:ascii="Garamond" w:hAnsi="Garamond"/>
          <w:color w:val="000000"/>
        </w:rPr>
      </w:pPr>
      <w:r>
        <w:rPr>
          <w:rFonts w:ascii="Garamond" w:hAnsi="Garamond"/>
          <w:b/>
          <w:color w:val="000000"/>
        </w:rPr>
        <w:t>OBEC TŘEBOTOV</w:t>
      </w:r>
    </w:p>
    <w:p>
      <w:pPr>
        <w:pStyle w:val="Normal"/>
        <w:spacing w:lineRule="auto" w:line="276"/>
        <w:ind w:left="0" w:hanging="2"/>
        <w:jc w:val="center"/>
        <w:rPr>
          <w:rFonts w:ascii="Garamond" w:hAnsi="Garamond"/>
          <w:color w:val="000000"/>
        </w:rPr>
      </w:pPr>
      <w:r>
        <w:rPr>
          <w:rFonts w:ascii="Garamond" w:hAnsi="Garamond"/>
          <w:b/>
          <w:color w:val="000000"/>
        </w:rPr>
        <w:t>Zastupitelstvo obce Třebotov</w:t>
      </w:r>
    </w:p>
    <w:p>
      <w:pPr>
        <w:pStyle w:val="Normal"/>
        <w:spacing w:lineRule="auto" w:line="276"/>
        <w:ind w:left="0" w:hanging="2"/>
        <w:jc w:val="center"/>
        <w:rPr>
          <w:rFonts w:ascii="Garamond" w:hAnsi="Garamond"/>
          <w:color w:val="000000"/>
        </w:rPr>
      </w:pPr>
      <w:r>
        <w:rPr>
          <w:rFonts w:ascii="Garamond" w:hAnsi="Garamond"/>
          <w:b/>
          <w:color w:val="000000"/>
        </w:rPr>
        <w:t xml:space="preserve">Obecně závazná vyhláška obce Třebotov </w:t>
      </w:r>
    </w:p>
    <w:p>
      <w:pPr>
        <w:pStyle w:val="Normal"/>
        <w:spacing w:lineRule="auto" w:line="240"/>
        <w:ind w:left="0" w:hanging="2"/>
        <w:jc w:val="center"/>
        <w:rPr>
          <w:rFonts w:ascii="Garamond" w:hAnsi="Garamond"/>
          <w:color w:val="000000"/>
        </w:rPr>
      </w:pPr>
      <w:r>
        <w:rPr>
          <w:rFonts w:ascii="Garamond" w:hAnsi="Garamond"/>
          <w:b/>
          <w:color w:val="000000"/>
        </w:rPr>
        <w:t xml:space="preserve">o stanovení obecního systému odpadového hospodářství </w:t>
      </w:r>
    </w:p>
    <w:p>
      <w:pPr>
        <w:pStyle w:val="Normal"/>
        <w:spacing w:lineRule="auto" w:line="240"/>
        <w:ind w:left="0" w:hanging="2"/>
        <w:jc w:val="both"/>
        <w:rPr>
          <w:rFonts w:ascii="Garamond" w:hAnsi="Garamond"/>
          <w:color w:val="000000"/>
        </w:rPr>
      </w:pPr>
      <w:r>
        <w:rPr>
          <w:rFonts w:ascii="Garamond" w:hAnsi="Garamond"/>
          <w:color w:val="000000"/>
        </w:rPr>
      </w:r>
    </w:p>
    <w:p>
      <w:pPr>
        <w:pStyle w:val="Normal"/>
        <w:spacing w:lineRule="auto" w:line="240"/>
        <w:ind w:left="0" w:hanging="2"/>
        <w:jc w:val="both"/>
        <w:rPr>
          <w:rFonts w:ascii="Garamond" w:hAnsi="Garamond"/>
          <w:color w:val="000000"/>
        </w:rPr>
      </w:pPr>
      <w:r>
        <w:rPr>
          <w:rFonts w:ascii="Garamond" w:hAnsi="Garamond"/>
          <w:color w:val="000000"/>
        </w:rPr>
        <w:t>Zastupitelstvo obce Třebotov se na svém zasedání dne 22. 11. 2023</w:t>
      </w:r>
      <w:r>
        <w:rPr>
          <w:rFonts w:ascii="Garamond" w:hAnsi="Garamond"/>
          <w:color w:val="000000"/>
          <w:shd w:fill="auto" w:val="clear"/>
        </w:rPr>
        <w:t xml:space="preserve"> usnesením č. 4/11/23 </w:t>
      </w:r>
      <w:r>
        <w:rPr>
          <w:rFonts w:ascii="Garamond" w:hAnsi="Garamond"/>
          <w:color w:val="000000"/>
        </w:rPr>
        <w:t xml:space="preserve">usneslo vydat na základě § 59 odst. 4 zákona č. 541/2020 Sb., o odpadech (dále jen „zákon </w:t>
        <w:br/>
        <w:t xml:space="preserve">o odpadech“), a v souladu s § 10 písm. d) a § 84 odst. 2 písm. h) zákona č. 128/2000 Sb., </w:t>
        <w:br/>
        <w:t>o obcích (obecní zřízení), ve znění pozdějších předpisů, tuto obecně závaznou vyhlášku (dále jen „vyhláška“):</w:t>
      </w:r>
    </w:p>
    <w:p>
      <w:pPr>
        <w:pStyle w:val="Normal"/>
        <w:spacing w:lineRule="auto" w:line="240" w:before="0" w:after="120"/>
        <w:ind w:left="0" w:hanging="2"/>
        <w:rPr>
          <w:rFonts w:ascii="Garamond" w:hAnsi="Garamond"/>
        </w:rPr>
      </w:pPr>
      <w:r>
        <w:rPr>
          <w:rFonts w:ascii="Garamond" w:hAnsi="Garamond"/>
        </w:rPr>
      </w:r>
    </w:p>
    <w:p>
      <w:pPr>
        <w:pStyle w:val="Normal"/>
        <w:spacing w:lineRule="auto" w:line="240" w:before="0" w:after="120"/>
        <w:ind w:left="0" w:hanging="2"/>
        <w:jc w:val="center"/>
        <w:rPr>
          <w:rFonts w:ascii="Garamond" w:hAnsi="Garamond"/>
          <w:color w:val="000000"/>
        </w:rPr>
      </w:pPr>
      <w:r>
        <w:rPr>
          <w:rFonts w:ascii="Garamond" w:hAnsi="Garamond"/>
          <w:b/>
          <w:color w:val="000000"/>
        </w:rPr>
        <w:t>Čl. 1</w:t>
      </w:r>
    </w:p>
    <w:p>
      <w:pPr>
        <w:pStyle w:val="Normal"/>
        <w:keepNext w:val="true"/>
        <w:spacing w:lineRule="auto" w:line="240" w:before="0" w:after="120"/>
        <w:ind w:left="0" w:hanging="2"/>
        <w:jc w:val="center"/>
        <w:rPr>
          <w:rFonts w:ascii="Garamond" w:hAnsi="Garamond"/>
          <w:color w:val="000000"/>
        </w:rPr>
      </w:pPr>
      <w:r>
        <w:rPr>
          <w:rFonts w:ascii="Garamond" w:hAnsi="Garamond"/>
          <w:b/>
          <w:color w:val="000000"/>
        </w:rPr>
        <w:t>Úvodní ustanovení</w:t>
      </w:r>
    </w:p>
    <w:p>
      <w:pPr>
        <w:pStyle w:val="Normal"/>
        <w:numPr>
          <w:ilvl w:val="0"/>
          <w:numId w:val="7"/>
        </w:numPr>
        <w:tabs>
          <w:tab w:val="clear" w:pos="720"/>
          <w:tab w:val="left" w:pos="0" w:leader="none"/>
        </w:tabs>
        <w:spacing w:lineRule="auto" w:line="240" w:before="0" w:after="120"/>
        <w:ind w:left="567" w:hanging="567"/>
        <w:jc w:val="both"/>
        <w:rPr>
          <w:rFonts w:ascii="Garamond" w:hAnsi="Garamond"/>
        </w:rPr>
      </w:pPr>
      <w:r>
        <w:rPr>
          <w:rFonts w:ascii="Garamond" w:hAnsi="Garamond"/>
        </w:rPr>
        <w:t>Tato vyhláška stanovuje obecní systém odpadového hospodářství na území obce Třebotov.</w:t>
      </w:r>
    </w:p>
    <w:p>
      <w:pPr>
        <w:pStyle w:val="Normal"/>
        <w:numPr>
          <w:ilvl w:val="0"/>
          <w:numId w:val="7"/>
        </w:numPr>
        <w:tabs>
          <w:tab w:val="clear" w:pos="720"/>
          <w:tab w:val="left" w:pos="-142" w:leader="none"/>
        </w:tabs>
        <w:spacing w:lineRule="auto" w:line="240" w:before="0" w:after="120"/>
        <w:ind w:left="567" w:hanging="567"/>
        <w:jc w:val="both"/>
        <w:rPr>
          <w:rFonts w:ascii="Garamond" w:hAnsi="Garamond"/>
          <w:color w:val="000000"/>
        </w:rPr>
      </w:pPr>
      <w:r>
        <w:rPr>
          <w:rFonts w:ascii="Garamond" w:hAnsi="Garamond"/>
        </w:rPr>
        <w:t>Každý je povinen odpad nebo movitou věc, které předává do obecního systému, odkládat na m</w:t>
      </w:r>
      <w:r>
        <w:rPr>
          <w:rFonts w:ascii="Garamond" w:hAnsi="Garamond"/>
          <w:color w:val="000000"/>
        </w:rPr>
        <w:t>ísta určená obcí v souladu s povinnostmi stanovenými pro daný druh, kategorii nebo materiál odpadu nebo movitých věcí zákonem o odpadech a touto vyhláškou</w:t>
      </w:r>
      <w:r>
        <w:rPr>
          <w:rStyle w:val="Ukotvenpoznmkypodarou"/>
          <w:rFonts w:ascii="Garamond" w:hAnsi="Garamond"/>
          <w:color w:val="000000"/>
          <w:vertAlign w:val="superscript"/>
        </w:rPr>
        <w:footnoteReference w:id="2"/>
      </w:r>
      <w:r>
        <w:rPr>
          <w:rFonts w:ascii="Garamond" w:hAnsi="Garamond"/>
          <w:color w:val="000000"/>
        </w:rPr>
        <w:t>.</w:t>
      </w:r>
    </w:p>
    <w:p>
      <w:pPr>
        <w:pStyle w:val="Normal"/>
        <w:numPr>
          <w:ilvl w:val="0"/>
          <w:numId w:val="7"/>
        </w:numPr>
        <w:tabs>
          <w:tab w:val="clear" w:pos="720"/>
          <w:tab w:val="left" w:pos="-142" w:leader="none"/>
        </w:tabs>
        <w:spacing w:lineRule="auto" w:line="240" w:before="0" w:after="120"/>
        <w:ind w:left="567" w:hanging="567"/>
        <w:jc w:val="both"/>
        <w:rPr>
          <w:rFonts w:ascii="Garamond" w:hAnsi="Garamond"/>
          <w:color w:val="000000"/>
        </w:rPr>
      </w:pPr>
      <w:r>
        <w:rPr>
          <w:rFonts w:ascii="Garamond" w:hAnsi="Garamond"/>
          <w:color w:val="000000"/>
        </w:rPr>
        <w:t xml:space="preserve">V okamžiku, kdy osoba zapojená do obecního systému odloží movitou věc nebo odpad, </w:t>
        <w:br/>
        <w:t>s výjimkou výrobků s ukončenou životností, na místě obcí k tomuto účelu určeném, stává se obec vlastníkem této movité věci nebo odpadu</w:t>
      </w:r>
      <w:r>
        <w:rPr>
          <w:rStyle w:val="Ukotvenpoznmkypodarou"/>
          <w:rFonts w:ascii="Garamond" w:hAnsi="Garamond"/>
          <w:color w:val="000000"/>
          <w:vertAlign w:val="superscript"/>
        </w:rPr>
        <w:footnoteReference w:id="3"/>
      </w:r>
      <w:r>
        <w:rPr>
          <w:rFonts w:ascii="Garamond" w:hAnsi="Garamond"/>
          <w:color w:val="000000"/>
        </w:rPr>
        <w:t xml:space="preserve">. </w:t>
      </w:r>
    </w:p>
    <w:p>
      <w:pPr>
        <w:pStyle w:val="Normal"/>
        <w:numPr>
          <w:ilvl w:val="0"/>
          <w:numId w:val="7"/>
        </w:numPr>
        <w:tabs>
          <w:tab w:val="clear" w:pos="720"/>
          <w:tab w:val="left" w:pos="-142" w:leader="none"/>
        </w:tabs>
        <w:spacing w:lineRule="auto" w:line="240" w:before="0" w:after="120"/>
        <w:ind w:left="567" w:hanging="567"/>
        <w:jc w:val="both"/>
        <w:rPr>
          <w:rFonts w:ascii="Garamond" w:hAnsi="Garamond"/>
          <w:color w:val="000000"/>
        </w:rPr>
      </w:pPr>
      <w:r>
        <w:rPr>
          <w:rFonts w:ascii="Garamond" w:hAnsi="Garamond"/>
          <w:color w:val="00000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spacing w:lineRule="auto" w:line="240" w:before="0" w:after="120"/>
        <w:ind w:left="0" w:hanging="0"/>
        <w:rPr>
          <w:rFonts w:ascii="Garamond" w:hAnsi="Garamond"/>
        </w:rPr>
      </w:pPr>
      <w:r>
        <w:rPr>
          <w:rFonts w:ascii="Garamond" w:hAnsi="Garamond"/>
        </w:rPr>
      </w:r>
    </w:p>
    <w:p>
      <w:pPr>
        <w:pStyle w:val="Normal"/>
        <w:spacing w:lineRule="auto" w:line="240" w:before="0" w:after="120"/>
        <w:ind w:left="0" w:hanging="2"/>
        <w:jc w:val="center"/>
        <w:rPr>
          <w:rFonts w:ascii="Garamond" w:hAnsi="Garamond"/>
          <w:color w:val="000000"/>
        </w:rPr>
      </w:pPr>
      <w:r>
        <w:rPr>
          <w:rFonts w:ascii="Garamond" w:hAnsi="Garamond"/>
          <w:b/>
          <w:color w:val="000000"/>
        </w:rPr>
        <w:t>Čl. 2</w:t>
      </w:r>
    </w:p>
    <w:p>
      <w:pPr>
        <w:pStyle w:val="Normal"/>
        <w:spacing w:lineRule="auto" w:line="240" w:before="0" w:after="120"/>
        <w:ind w:left="0" w:hanging="2"/>
        <w:jc w:val="center"/>
        <w:rPr>
          <w:rFonts w:ascii="Garamond" w:hAnsi="Garamond"/>
          <w:color w:val="000000"/>
        </w:rPr>
      </w:pPr>
      <w:r>
        <w:rPr>
          <w:rFonts w:ascii="Garamond" w:hAnsi="Garamond"/>
          <w:b/>
          <w:color w:val="000000"/>
        </w:rPr>
        <w:t xml:space="preserve">Oddělené soustřeďování komunálního odpadu </w:t>
      </w:r>
    </w:p>
    <w:p>
      <w:pPr>
        <w:pStyle w:val="Normal"/>
        <w:numPr>
          <w:ilvl w:val="0"/>
          <w:numId w:val="13"/>
        </w:numPr>
        <w:spacing w:lineRule="auto" w:line="240" w:before="0" w:after="120"/>
        <w:ind w:left="567" w:hanging="567"/>
        <w:jc w:val="both"/>
        <w:rPr>
          <w:rFonts w:ascii="Garamond" w:hAnsi="Garamond"/>
          <w:color w:val="000000"/>
        </w:rPr>
      </w:pPr>
      <w:r>
        <w:rPr>
          <w:rFonts w:ascii="Garamond" w:hAnsi="Garamond"/>
          <w:color w:val="000000"/>
        </w:rPr>
        <w:t>Osoby předávající komunální odpad na místa určená obcí jsou povinny odděleně soustřeďovat následující složky:</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biologické odpady,</w:t>
      </w:r>
    </w:p>
    <w:p>
      <w:pPr>
        <w:pStyle w:val="Normal"/>
        <w:numPr>
          <w:ilvl w:val="0"/>
          <w:numId w:val="3"/>
        </w:numPr>
        <w:tabs>
          <w:tab w:val="clear" w:pos="720"/>
          <w:tab w:val="left" w:pos="567" w:leader="none"/>
        </w:tabs>
        <w:spacing w:lineRule="auto" w:line="240"/>
        <w:ind w:left="847" w:hanging="281"/>
        <w:rPr>
          <w:rFonts w:ascii="Garamond" w:hAnsi="Garamond"/>
          <w:iCs/>
          <w:color w:val="000000"/>
        </w:rPr>
      </w:pPr>
      <w:r>
        <w:rPr>
          <w:rFonts w:ascii="Garamond" w:hAnsi="Garamond"/>
          <w:iCs/>
          <w:color w:val="000000"/>
        </w:rPr>
        <w:t>papír,</w:t>
      </w:r>
    </w:p>
    <w:p>
      <w:pPr>
        <w:pStyle w:val="Normal"/>
        <w:numPr>
          <w:ilvl w:val="0"/>
          <w:numId w:val="3"/>
        </w:numPr>
        <w:tabs>
          <w:tab w:val="clear" w:pos="720"/>
          <w:tab w:val="left" w:pos="567" w:leader="none"/>
        </w:tabs>
        <w:spacing w:lineRule="auto" w:line="240"/>
        <w:ind w:left="847" w:hanging="281"/>
        <w:rPr>
          <w:rFonts w:ascii="Garamond" w:hAnsi="Garamond"/>
          <w:iCs/>
          <w:color w:val="000000"/>
        </w:rPr>
      </w:pPr>
      <w:r>
        <w:rPr>
          <w:rFonts w:ascii="Garamond" w:hAnsi="Garamond"/>
          <w:iCs/>
          <w:color w:val="000000"/>
        </w:rPr>
        <w:t>plasty včetně PET lahví,</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sklo,</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kovy,</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nebezpečné odpady,</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objemný odpad,</w:t>
      </w:r>
    </w:p>
    <w:p>
      <w:pPr>
        <w:pStyle w:val="Normal"/>
        <w:numPr>
          <w:ilvl w:val="0"/>
          <w:numId w:val="3"/>
        </w:numPr>
        <w:spacing w:lineRule="auto" w:line="240"/>
        <w:ind w:left="847" w:hanging="281"/>
        <w:rPr>
          <w:rFonts w:ascii="Garamond" w:hAnsi="Garamond"/>
          <w:iCs/>
          <w:color w:val="000000"/>
        </w:rPr>
      </w:pPr>
      <w:r>
        <w:rPr>
          <w:rFonts w:ascii="Garamond" w:hAnsi="Garamond"/>
          <w:iCs/>
          <w:color w:val="000000"/>
        </w:rPr>
        <w:t>jedlé oleje a tuky,</w:t>
      </w:r>
    </w:p>
    <w:p>
      <w:pPr>
        <w:pStyle w:val="Normal"/>
        <w:numPr>
          <w:ilvl w:val="0"/>
          <w:numId w:val="3"/>
        </w:numPr>
        <w:spacing w:lineRule="auto" w:line="240" w:before="0" w:after="120"/>
        <w:ind w:left="847" w:hanging="281"/>
        <w:rPr>
          <w:rFonts w:ascii="Garamond" w:hAnsi="Garamond"/>
          <w:iCs/>
          <w:color w:val="000000"/>
        </w:rPr>
      </w:pPr>
      <w:r>
        <w:rPr>
          <w:rFonts w:ascii="Garamond" w:hAnsi="Garamond"/>
          <w:iCs/>
          <w:color w:val="000000"/>
        </w:rPr>
        <w:t>směsný komunální odpad.</w:t>
      </w:r>
    </w:p>
    <w:p>
      <w:pPr>
        <w:pStyle w:val="Normal"/>
        <w:numPr>
          <w:ilvl w:val="0"/>
          <w:numId w:val="14"/>
        </w:numPr>
        <w:spacing w:lineRule="auto" w:line="240" w:before="0" w:after="120"/>
        <w:ind w:left="567" w:hanging="567"/>
        <w:jc w:val="both"/>
        <w:rPr>
          <w:rFonts w:ascii="Garamond" w:hAnsi="Garamond"/>
          <w:color w:val="000000"/>
        </w:rPr>
      </w:pPr>
      <w:r>
        <w:rPr>
          <w:rFonts w:ascii="Garamond" w:hAnsi="Garamond"/>
          <w:color w:val="000000"/>
        </w:rPr>
        <w:t>Směsným komunálním odpadem se rozumí zbylý komunální odpad po stanoveném vytřídění podle odstavce 1 písm. a), b), c), d), e), f), g) a h).</w:t>
      </w:r>
    </w:p>
    <w:p>
      <w:pPr>
        <w:pStyle w:val="Normal"/>
        <w:numPr>
          <w:ilvl w:val="0"/>
          <w:numId w:val="14"/>
        </w:numPr>
        <w:spacing w:lineRule="auto" w:line="240" w:before="0" w:after="120"/>
        <w:ind w:left="567" w:hanging="567"/>
        <w:jc w:val="both"/>
        <w:rPr>
          <w:rFonts w:ascii="Garamond" w:hAnsi="Garamond"/>
          <w:color w:val="000000"/>
        </w:rPr>
      </w:pPr>
      <w:r>
        <w:rPr>
          <w:rFonts w:ascii="Garamond" w:hAnsi="Garamond"/>
          <w:color w:val="000000"/>
        </w:rPr>
        <w:t>Objemný odpad je takový odpad, který vzhledem ke svým rozměrům nemůže být umístěn do sběrných nádob (např. koberce, matrace, nábytek, …).</w:t>
      </w:r>
    </w:p>
    <w:p>
      <w:pPr>
        <w:pStyle w:val="Normal"/>
        <w:spacing w:lineRule="auto" w:line="240" w:before="0" w:after="120"/>
        <w:ind w:left="0" w:hanging="0"/>
        <w:rPr>
          <w:rFonts w:ascii="Garamond" w:hAnsi="Garamond"/>
          <w:color w:val="000000"/>
        </w:rPr>
      </w:pPr>
      <w:r>
        <w:rPr>
          <w:rFonts w:ascii="Garamond" w:hAnsi="Garamond"/>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Čl. 3</w:t>
      </w:r>
    </w:p>
    <w:p>
      <w:pPr>
        <w:pStyle w:val="Normal"/>
        <w:keepNext w:val="true"/>
        <w:spacing w:lineRule="auto" w:line="240" w:before="0" w:after="120"/>
        <w:ind w:left="0" w:hanging="2"/>
        <w:jc w:val="center"/>
        <w:rPr>
          <w:rFonts w:ascii="Garamond" w:hAnsi="Garamond"/>
          <w:color w:val="000000"/>
        </w:rPr>
      </w:pPr>
      <w:r>
        <w:rPr>
          <w:rFonts w:ascii="Garamond" w:hAnsi="Garamond"/>
          <w:b/>
          <w:color w:val="000000"/>
        </w:rPr>
        <w:t>Určení míst pro oddělené soustřeďování určených složek komunálního odpadu</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 xml:space="preserve">Papír, plasty, sklo, kovy, biologické odpady, jedlé oleje a tuky se soustřeďují do zvláštních sběrných nádob, kterými jsou sběrné nádoby, kontejnery, velkoobjemové kontejnery a pytle. </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Zvláštní sběrné nádoby jsou umístěny na společných stanovištích nebo na individuálních stanovištích u jednotlivých nemovitostí. Seznam společných stanovišť je umístěn na webové stránce obce (</w:t>
      </w:r>
      <w:hyperlink r:id="rId2">
        <w:r>
          <w:rPr>
            <w:rStyle w:val="Internetovodkaz"/>
            <w:rFonts w:ascii="Garamond" w:hAnsi="Garamond"/>
          </w:rPr>
          <w:t>www.obectrebotov.cz</w:t>
        </w:r>
      </w:hyperlink>
      <w:r>
        <w:rPr>
          <w:rFonts w:ascii="Garamond" w:hAnsi="Garamond"/>
          <w:color w:val="000000"/>
        </w:rPr>
        <w:t>) nebo je k nahlédnutí na Obecním úřadě Třebotov (dále jen „obecní úřad“).</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 xml:space="preserve">Zvláštní sběrné nádoby na společných stanovištích jsou barevně odlišeny a označeny příslušnými nápisy: </w:t>
      </w:r>
    </w:p>
    <w:p>
      <w:pPr>
        <w:pStyle w:val="Normal"/>
        <w:spacing w:lineRule="auto" w:line="240" w:before="0" w:after="120"/>
        <w:ind w:hanging="0"/>
        <w:rPr/>
      </w:pPr>
      <w:r>
        <w:rPr/>
      </w:r>
    </w:p>
    <w:p>
      <w:pPr>
        <w:pStyle w:val="Normal"/>
        <w:numPr>
          <w:ilvl w:val="1"/>
          <w:numId w:val="2"/>
        </w:numPr>
        <w:spacing w:lineRule="auto" w:line="240"/>
        <w:ind w:left="850" w:hanging="286"/>
        <w:rPr>
          <w:rFonts w:ascii="Garamond" w:hAnsi="Garamond"/>
          <w:color w:val="000000"/>
        </w:rPr>
      </w:pPr>
      <w:r>
        <w:rPr>
          <w:rFonts w:ascii="Garamond" w:hAnsi="Garamond"/>
          <w:color w:val="000000"/>
        </w:rPr>
        <w:t>biologické odpady – barva zelená</w:t>
      </w:r>
    </w:p>
    <w:p>
      <w:pPr>
        <w:pStyle w:val="Normal"/>
        <w:numPr>
          <w:ilvl w:val="1"/>
          <w:numId w:val="2"/>
        </w:numPr>
        <w:spacing w:lineRule="auto" w:line="240"/>
        <w:ind w:left="850" w:hanging="286"/>
        <w:rPr>
          <w:rFonts w:ascii="Garamond" w:hAnsi="Garamond"/>
          <w:color w:val="000000"/>
        </w:rPr>
      </w:pPr>
      <w:r>
        <w:rPr>
          <w:rFonts w:ascii="Garamond" w:hAnsi="Garamond"/>
          <w:color w:val="000000"/>
        </w:rPr>
        <w:t>papír – barva modrá,</w:t>
      </w:r>
    </w:p>
    <w:p>
      <w:pPr>
        <w:pStyle w:val="Normal"/>
        <w:numPr>
          <w:ilvl w:val="1"/>
          <w:numId w:val="2"/>
        </w:numPr>
        <w:spacing w:lineRule="auto" w:line="240"/>
        <w:ind w:left="850" w:hanging="286"/>
        <w:rPr>
          <w:rFonts w:ascii="Garamond" w:hAnsi="Garamond"/>
          <w:color w:val="000000"/>
        </w:rPr>
      </w:pPr>
      <w:r>
        <w:rPr>
          <w:rFonts w:ascii="Garamond" w:hAnsi="Garamond"/>
          <w:color w:val="000000"/>
        </w:rPr>
        <w:t>plasty – barva žlutá,</w:t>
      </w:r>
    </w:p>
    <w:p>
      <w:pPr>
        <w:pStyle w:val="Normal"/>
        <w:numPr>
          <w:ilvl w:val="1"/>
          <w:numId w:val="2"/>
        </w:numPr>
        <w:spacing w:lineRule="auto" w:line="240"/>
        <w:ind w:left="850" w:hanging="286"/>
        <w:rPr>
          <w:rFonts w:ascii="Garamond" w:hAnsi="Garamond"/>
          <w:color w:val="000000"/>
        </w:rPr>
      </w:pPr>
      <w:r>
        <w:rPr>
          <w:rFonts w:ascii="Garamond" w:hAnsi="Garamond"/>
          <w:color w:val="000000"/>
        </w:rPr>
        <w:t xml:space="preserve">sklo – barva bílá nebo zelená, </w:t>
      </w:r>
    </w:p>
    <w:p>
      <w:pPr>
        <w:pStyle w:val="Normal"/>
        <w:numPr>
          <w:ilvl w:val="1"/>
          <w:numId w:val="2"/>
        </w:numPr>
        <w:spacing w:lineRule="auto" w:line="240"/>
        <w:ind w:left="850" w:hanging="286"/>
        <w:rPr>
          <w:rFonts w:ascii="Garamond" w:hAnsi="Garamond"/>
          <w:color w:val="000000"/>
        </w:rPr>
      </w:pPr>
      <w:r>
        <w:rPr>
          <w:rFonts w:ascii="Garamond" w:hAnsi="Garamond"/>
          <w:color w:val="000000"/>
        </w:rPr>
        <w:t>kovy – barva šedá,</w:t>
      </w:r>
    </w:p>
    <w:p>
      <w:pPr>
        <w:pStyle w:val="Normal"/>
        <w:numPr>
          <w:ilvl w:val="1"/>
          <w:numId w:val="2"/>
        </w:numPr>
        <w:spacing w:lineRule="auto" w:line="240" w:before="0" w:after="120"/>
        <w:ind w:left="850" w:hanging="286"/>
        <w:rPr>
          <w:rFonts w:ascii="Garamond" w:hAnsi="Garamond"/>
          <w:color w:val="000000"/>
        </w:rPr>
      </w:pPr>
      <w:r>
        <w:rPr>
          <w:rFonts w:ascii="Garamond" w:hAnsi="Garamond"/>
          <w:color w:val="000000"/>
        </w:rPr>
        <w:t>jedlé oleje a tuky – barva černá.</w:t>
      </w:r>
    </w:p>
    <w:p>
      <w:pPr>
        <w:pStyle w:val="Normal"/>
        <w:numPr>
          <w:ilvl w:val="0"/>
          <w:numId w:val="4"/>
        </w:numPr>
        <w:spacing w:lineRule="auto" w:line="240" w:before="0" w:after="120"/>
        <w:ind w:left="567" w:hanging="567"/>
        <w:rPr>
          <w:rFonts w:ascii="Garamond" w:hAnsi="Garamond"/>
          <w:color w:val="000000"/>
        </w:rPr>
      </w:pPr>
      <w:r>
        <w:rPr>
          <w:rFonts w:ascii="Garamond" w:hAnsi="Garamond"/>
          <w:color w:val="000000"/>
        </w:rPr>
        <w:t>Zvláštní sběrné nádoby na papír a plasty na společných stanovištích jsou určeny výhradně pro soustřeďování tříděného odpadu z nemovitostí, které nejsou dostupné pro svozový vůz.</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Zvláštní sběrné nádoby, které jsou umístěny na individuálních stanovištích u jednotlivých nemovitostí, mohou být buď barevně odlišené kontejnery a popelnice, anebo pytle, do kterých se ukládají:</w:t>
      </w:r>
    </w:p>
    <w:p>
      <w:pPr>
        <w:pStyle w:val="Normal"/>
        <w:numPr>
          <w:ilvl w:val="1"/>
          <w:numId w:val="5"/>
        </w:numPr>
        <w:spacing w:lineRule="auto" w:line="240"/>
        <w:ind w:left="850" w:hanging="286"/>
        <w:rPr>
          <w:rFonts w:ascii="Garamond" w:hAnsi="Garamond"/>
          <w:color w:val="000000"/>
        </w:rPr>
      </w:pPr>
      <w:r>
        <w:rPr>
          <w:rFonts w:ascii="Garamond" w:hAnsi="Garamond"/>
          <w:color w:val="000000"/>
        </w:rPr>
        <w:t>plasty – barva nádoby žlutá nebo čirý pytel,</w:t>
      </w:r>
    </w:p>
    <w:p>
      <w:pPr>
        <w:pStyle w:val="Normal"/>
        <w:numPr>
          <w:ilvl w:val="1"/>
          <w:numId w:val="5"/>
        </w:numPr>
        <w:spacing w:lineRule="auto" w:line="240"/>
        <w:ind w:left="850" w:hanging="286"/>
        <w:rPr>
          <w:rFonts w:ascii="Garamond" w:hAnsi="Garamond"/>
          <w:color w:val="000000"/>
        </w:rPr>
      </w:pPr>
      <w:r>
        <w:rPr>
          <w:rFonts w:ascii="Garamond" w:hAnsi="Garamond"/>
          <w:color w:val="000000"/>
        </w:rPr>
        <w:t>papír – barva nádoby modrá nebo čirý pytel,</w:t>
      </w:r>
    </w:p>
    <w:p>
      <w:pPr>
        <w:pStyle w:val="Normal"/>
        <w:numPr>
          <w:ilvl w:val="1"/>
          <w:numId w:val="5"/>
        </w:numPr>
        <w:spacing w:lineRule="auto" w:line="240" w:before="0" w:after="120"/>
        <w:ind w:left="850" w:hanging="286"/>
        <w:rPr>
          <w:rFonts w:ascii="Garamond" w:hAnsi="Garamond"/>
          <w:color w:val="000000"/>
        </w:rPr>
      </w:pPr>
      <w:r>
        <w:rPr>
          <w:rFonts w:ascii="Garamond" w:hAnsi="Garamond"/>
          <w:color w:val="000000"/>
        </w:rPr>
        <w:t>biologické odpady – barva nádoby hnědá.</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Do zvláštních sběrných nádob pro tříděný odpad je zakázáno ukládat jiné složky komunálních odpadů, než pro které jsou určeny.</w:t>
      </w:r>
    </w:p>
    <w:p>
      <w:pPr>
        <w:pStyle w:val="Normal"/>
        <w:numPr>
          <w:ilvl w:val="0"/>
          <w:numId w:val="4"/>
        </w:numPr>
        <w:spacing w:lineRule="auto" w:line="240" w:before="0" w:after="120"/>
        <w:ind w:left="569" w:hanging="569"/>
        <w:rPr>
          <w:rFonts w:ascii="Garamond" w:hAnsi="Garamond"/>
          <w:color w:val="000000"/>
        </w:rPr>
      </w:pPr>
      <w:r>
        <w:rPr>
          <w:rFonts w:ascii="Garamond" w:hAnsi="Garamond"/>
          <w:color w:val="000000"/>
        </w:rPr>
        <w:t xml:space="preserve">Každý je povinen plnit zvláštní sběrné nádoby tak, aby je bylo možno uzavřít a odpad z nich při manipulaci nevypadával. Pokud to umožňuje povaha odpadu, je nutno objem odpadu před jeho odložením do sběrné nádoby minimalizovat. </w:t>
      </w:r>
    </w:p>
    <w:p>
      <w:pPr>
        <w:pStyle w:val="Normal"/>
        <w:keepNext w:val="true"/>
        <w:spacing w:lineRule="auto" w:line="240" w:before="0" w:after="120"/>
        <w:ind w:left="0" w:hanging="2"/>
        <w:jc w:val="center"/>
        <w:rPr>
          <w:rFonts w:ascii="Garamond" w:hAnsi="Garamond"/>
          <w:color w:val="000000"/>
        </w:rPr>
      </w:pPr>
      <w:r>
        <w:rPr>
          <w:rFonts w:ascii="Garamond" w:hAnsi="Garamond"/>
          <w:b/>
          <w:color w:val="000000"/>
        </w:rPr>
        <w:t>Čl. 4</w:t>
      </w:r>
    </w:p>
    <w:p>
      <w:pPr>
        <w:pStyle w:val="Normal"/>
        <w:keepNext w:val="true"/>
        <w:spacing w:lineRule="auto" w:line="240" w:before="0" w:after="120"/>
        <w:ind w:left="0" w:hanging="2"/>
        <w:jc w:val="center"/>
        <w:rPr>
          <w:rFonts w:ascii="Garamond" w:hAnsi="Garamond"/>
          <w:color w:val="000000"/>
        </w:rPr>
      </w:pPr>
      <w:r>
        <w:rPr>
          <w:rFonts w:ascii="Garamond" w:hAnsi="Garamond"/>
          <w:b/>
          <w:color w:val="000000"/>
        </w:rPr>
        <w:t xml:space="preserve"> </w:t>
      </w:r>
      <w:r>
        <w:rPr>
          <w:rFonts w:ascii="Garamond" w:hAnsi="Garamond"/>
          <w:b/>
          <w:color w:val="000000"/>
        </w:rPr>
        <w:t>Svoz nebezpečných složek komunálního odpadu</w:t>
      </w:r>
    </w:p>
    <w:p>
      <w:pPr>
        <w:pStyle w:val="Normal"/>
        <w:numPr>
          <w:ilvl w:val="0"/>
          <w:numId w:val="8"/>
        </w:numPr>
        <w:suppressAutoHyphens w:val="false"/>
        <w:spacing w:lineRule="auto" w:line="240" w:before="0" w:after="120"/>
        <w:ind w:left="569" w:hanging="569"/>
        <w:jc w:val="both"/>
        <w:rPr>
          <w:rFonts w:ascii="Garamond" w:hAnsi="Garamond"/>
          <w:color w:val="000000"/>
        </w:rPr>
      </w:pPr>
      <w:bookmarkStart w:id="0" w:name="_heading=h.gjdgxs"/>
      <w:bookmarkEnd w:id="0"/>
      <w:r>
        <w:rPr>
          <w:rFonts w:ascii="Garamond" w:hAnsi="Garamond"/>
          <w:color w:val="000000"/>
        </w:rPr>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webových stránkách obce, v místním rozhlase a v obecním zpravodaji.</w:t>
      </w:r>
    </w:p>
    <w:p>
      <w:pPr>
        <w:pStyle w:val="Normal"/>
        <w:numPr>
          <w:ilvl w:val="0"/>
          <w:numId w:val="8"/>
        </w:numPr>
        <w:spacing w:lineRule="auto" w:line="240" w:before="0" w:after="120"/>
        <w:ind w:left="569" w:hanging="569"/>
        <w:jc w:val="both"/>
        <w:rPr>
          <w:rFonts w:ascii="Garamond" w:hAnsi="Garamond"/>
          <w:color w:val="000000"/>
        </w:rPr>
      </w:pPr>
      <w:r>
        <w:rPr>
          <w:rFonts w:ascii="Garamond" w:hAnsi="Garamond"/>
          <w:color w:val="000000"/>
        </w:rPr>
        <w:t>Soustřeďování nebezpečných složek komunálního odpadu podléhá požadavkům stanoveným v čl. 3 odst. 6 a 7.</w:t>
      </w:r>
    </w:p>
    <w:p>
      <w:pPr>
        <w:pStyle w:val="Normal"/>
        <w:spacing w:lineRule="auto" w:line="240" w:before="0" w:after="120"/>
        <w:ind w:left="0" w:hanging="2"/>
        <w:rPr>
          <w:rFonts w:ascii="Garamond" w:hAnsi="Garamond"/>
        </w:rPr>
      </w:pPr>
      <w:r>
        <w:rPr>
          <w:rFonts w:ascii="Garamond" w:hAnsi="Garamond"/>
          <w:b/>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Čl. 5</w:t>
      </w:r>
    </w:p>
    <w:p>
      <w:pPr>
        <w:pStyle w:val="Normal"/>
        <w:spacing w:lineRule="auto" w:line="240" w:before="0" w:after="120"/>
        <w:ind w:left="0" w:hanging="2"/>
        <w:jc w:val="center"/>
        <w:rPr>
          <w:rFonts w:ascii="Garamond" w:hAnsi="Garamond"/>
          <w:color w:val="000000"/>
        </w:rPr>
      </w:pPr>
      <w:r>
        <w:rPr>
          <w:rFonts w:ascii="Garamond" w:hAnsi="Garamond"/>
          <w:b/>
          <w:color w:val="000000"/>
        </w:rPr>
        <w:t xml:space="preserve"> </w:t>
      </w:r>
      <w:r>
        <w:rPr>
          <w:rFonts w:ascii="Garamond" w:hAnsi="Garamond"/>
          <w:b/>
          <w:color w:val="000000"/>
        </w:rPr>
        <w:t>Svoz objemného odpadu</w:t>
      </w:r>
    </w:p>
    <w:p>
      <w:pPr>
        <w:pStyle w:val="Normal"/>
        <w:numPr>
          <w:ilvl w:val="0"/>
          <w:numId w:val="9"/>
        </w:numPr>
        <w:spacing w:lineRule="auto" w:line="240" w:before="0" w:after="120"/>
        <w:ind w:left="569" w:hanging="569"/>
        <w:jc w:val="both"/>
        <w:rPr>
          <w:rFonts w:ascii="Garamond" w:hAnsi="Garamond"/>
          <w:color w:val="000000"/>
        </w:rPr>
      </w:pPr>
      <w:r>
        <w:rPr>
          <w:rFonts w:ascii="Garamond" w:hAnsi="Garamond"/>
          <w:color w:val="000000"/>
        </w:rPr>
        <w:t>Svoz objemného odpadu je zajišťován jeho odebíráním na předem vyhlášených přechodných stanovištích přímo do zvláštních sběrných nádob k tomuto účelu určených. Informace o svozu jsou zveřejňovány na webových stránkách obce, v místním rozhlase a v obecním zpravodaji.</w:t>
      </w:r>
    </w:p>
    <w:p>
      <w:pPr>
        <w:pStyle w:val="Normal"/>
        <w:numPr>
          <w:ilvl w:val="0"/>
          <w:numId w:val="9"/>
        </w:numPr>
        <w:spacing w:lineRule="auto" w:line="240" w:before="0" w:after="120"/>
        <w:ind w:left="569" w:hanging="569"/>
        <w:jc w:val="both"/>
        <w:rPr>
          <w:rFonts w:ascii="Garamond" w:hAnsi="Garamond"/>
          <w:color w:val="000000"/>
        </w:rPr>
      </w:pPr>
      <w:r>
        <w:rPr>
          <w:rFonts w:ascii="Garamond" w:hAnsi="Garamond"/>
          <w:color w:val="000000"/>
        </w:rPr>
        <w:t xml:space="preserve">Soustřeďování objemného odpadu podléhá požadavkům stanoveným v čl. 3 odst. 6 a 7. </w:t>
      </w:r>
    </w:p>
    <w:p>
      <w:pPr>
        <w:pStyle w:val="Normal"/>
        <w:spacing w:lineRule="auto" w:line="240" w:before="0" w:after="120"/>
        <w:ind w:left="0" w:hanging="2"/>
        <w:rPr>
          <w:rFonts w:ascii="Garamond" w:hAnsi="Garamond"/>
          <w:color w:val="000000"/>
        </w:rPr>
      </w:pPr>
      <w:r>
        <w:rPr>
          <w:rFonts w:ascii="Garamond" w:hAnsi="Garamond"/>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Čl. 6</w:t>
      </w:r>
    </w:p>
    <w:p>
      <w:pPr>
        <w:pStyle w:val="Normal"/>
        <w:spacing w:lineRule="auto" w:line="240" w:before="0" w:after="120"/>
        <w:ind w:left="0" w:hanging="2"/>
        <w:jc w:val="center"/>
        <w:rPr>
          <w:rFonts w:ascii="Garamond" w:hAnsi="Garamond"/>
          <w:color w:val="000000"/>
        </w:rPr>
      </w:pPr>
      <w:r>
        <w:rPr>
          <w:rFonts w:ascii="Garamond" w:hAnsi="Garamond"/>
          <w:b/>
          <w:color w:val="000000"/>
        </w:rPr>
        <w:t xml:space="preserve">Soustřeďování směsného komunálního odpadu </w:t>
      </w:r>
    </w:p>
    <w:p>
      <w:pPr>
        <w:pStyle w:val="Normal"/>
        <w:widowControl w:val="false"/>
        <w:numPr>
          <w:ilvl w:val="0"/>
          <w:numId w:val="10"/>
        </w:numPr>
        <w:spacing w:lineRule="auto" w:line="240" w:before="0" w:after="120"/>
        <w:ind w:left="569" w:hanging="569"/>
        <w:jc w:val="both"/>
        <w:rPr>
          <w:rFonts w:ascii="Garamond" w:hAnsi="Garamond"/>
        </w:rPr>
      </w:pPr>
      <w:r>
        <w:rPr>
          <w:rFonts w:ascii="Garamond" w:hAnsi="Garamond"/>
        </w:rPr>
        <w:t>Směsný komunální odpad se odkládá do sběrných nádob. Pro účely této vyhlášky se sběrnými nádobami rozumějí:</w:t>
      </w:r>
      <w:r>
        <w:rPr>
          <w:rFonts w:ascii="Garamond" w:hAnsi="Garamond"/>
          <w:i/>
        </w:rPr>
        <w:t xml:space="preserve"> </w:t>
      </w:r>
    </w:p>
    <w:p>
      <w:pPr>
        <w:pStyle w:val="Normal"/>
        <w:widowControl w:val="false"/>
        <w:numPr>
          <w:ilvl w:val="0"/>
          <w:numId w:val="11"/>
        </w:numPr>
        <w:spacing w:lineRule="auto" w:line="240"/>
        <w:ind w:left="851" w:hanging="284"/>
        <w:jc w:val="both"/>
        <w:rPr>
          <w:rFonts w:ascii="Garamond" w:hAnsi="Garamond"/>
        </w:rPr>
      </w:pPr>
      <w:r>
        <w:rPr>
          <w:rFonts w:ascii="Garamond" w:hAnsi="Garamond"/>
        </w:rPr>
        <w:t>popelnice nebo kontejnery umístěné u jednotlivých nemovitostí,</w:t>
      </w:r>
    </w:p>
    <w:p>
      <w:pPr>
        <w:pStyle w:val="Normal"/>
        <w:widowControl w:val="false"/>
        <w:numPr>
          <w:ilvl w:val="0"/>
          <w:numId w:val="11"/>
        </w:numPr>
        <w:spacing w:lineRule="auto" w:line="240"/>
        <w:ind w:left="851" w:hanging="284"/>
        <w:jc w:val="both"/>
        <w:rPr>
          <w:rFonts w:ascii="Garamond" w:hAnsi="Garamond"/>
        </w:rPr>
      </w:pPr>
      <w:r>
        <w:rPr>
          <w:rFonts w:ascii="Garamond" w:hAnsi="Garamond"/>
        </w:rPr>
        <w:t xml:space="preserve">kontejnery </w:t>
      </w:r>
      <w:r>
        <w:rPr>
          <w:rFonts w:ascii="Garamond" w:hAnsi="Garamond"/>
          <w:color w:val="000000"/>
        </w:rPr>
        <w:t>na veřejně dostupných stanovištích určené výhradně pro soustřeďování směsného komunálního odpadu z nemovitostí nedostupných svozovému vozu,</w:t>
      </w:r>
    </w:p>
    <w:p>
      <w:pPr>
        <w:pStyle w:val="Normal"/>
        <w:numPr>
          <w:ilvl w:val="0"/>
          <w:numId w:val="11"/>
        </w:numPr>
        <w:spacing w:lineRule="auto" w:line="240" w:before="0" w:after="120"/>
        <w:ind w:left="851" w:hanging="284"/>
        <w:jc w:val="both"/>
        <w:rPr>
          <w:rFonts w:ascii="Garamond" w:hAnsi="Garamond"/>
        </w:rPr>
      </w:pPr>
      <w:r>
        <w:rPr>
          <w:rFonts w:ascii="Garamond" w:hAnsi="Garamond"/>
        </w:rPr>
        <w:t>odpadkové koše, které jsou umístěny na veřejných prostranstvích v obci a slouží pro odkládání drobného směsného komunálního odpadu.</w:t>
      </w:r>
    </w:p>
    <w:p>
      <w:pPr>
        <w:pStyle w:val="Normal"/>
        <w:numPr>
          <w:ilvl w:val="0"/>
          <w:numId w:val="15"/>
        </w:numPr>
        <w:spacing w:lineRule="auto" w:line="240" w:before="0" w:after="120"/>
        <w:ind w:left="567" w:hanging="567"/>
        <w:jc w:val="both"/>
        <w:rPr>
          <w:rFonts w:ascii="Garamond" w:hAnsi="Garamond"/>
        </w:rPr>
      </w:pPr>
      <w:r>
        <w:rPr>
          <w:rFonts w:ascii="Garamond" w:hAnsi="Garamond"/>
        </w:rPr>
        <w:t xml:space="preserve">Soustřeďování směsného komunálního odpadu podléhá požadavkům stanoveným </w:t>
        <w:br/>
        <w:t>v čl. 3 odst. 6 a 7.</w:t>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567" w:hanging="567"/>
        <w:jc w:val="both"/>
        <w:rPr>
          <w:rFonts w:ascii="Garamond" w:hAnsi="Garamond"/>
        </w:rPr>
      </w:pPr>
      <w:r>
        <w:rPr/>
      </w:r>
    </w:p>
    <w:p>
      <w:pPr>
        <w:pStyle w:val="Normal"/>
        <w:spacing w:lineRule="auto" w:line="240" w:before="0" w:after="120"/>
        <w:ind w:left="0" w:hanging="2"/>
        <w:jc w:val="center"/>
        <w:rPr>
          <w:rFonts w:ascii="Garamond" w:hAnsi="Garamond"/>
          <w:b/>
          <w:color w:val="000000"/>
        </w:rPr>
      </w:pPr>
      <w:r>
        <w:rPr>
          <w:rFonts w:ascii="Garamond" w:hAnsi="Garamond"/>
          <w:b/>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Čl. 7</w:t>
      </w:r>
    </w:p>
    <w:p>
      <w:pPr>
        <w:pStyle w:val="Normal"/>
        <w:keepNext w:val="true"/>
        <w:spacing w:lineRule="auto" w:line="240" w:before="0" w:after="120"/>
        <w:ind w:left="0" w:hanging="2"/>
        <w:jc w:val="center"/>
        <w:rPr>
          <w:rFonts w:ascii="Garamond" w:hAnsi="Garamond"/>
          <w:color w:val="000000"/>
        </w:rPr>
      </w:pPr>
      <w:r>
        <w:rPr>
          <w:rFonts w:ascii="Garamond" w:hAnsi="Garamond"/>
          <w:b/>
          <w:color w:val="000000"/>
        </w:rPr>
        <w:t>Nakládání s komunálním odpadem vznikajícím na území obce při činnosti právnických a podnikajících fyzických osob</w:t>
      </w:r>
    </w:p>
    <w:p>
      <w:pPr>
        <w:pStyle w:val="Normal"/>
        <w:numPr>
          <w:ilvl w:val="0"/>
          <w:numId w:val="6"/>
        </w:numPr>
        <w:spacing w:lineRule="auto" w:line="240" w:before="0" w:after="120"/>
        <w:ind w:left="569" w:hanging="569"/>
        <w:jc w:val="both"/>
        <w:rPr>
          <w:rFonts w:ascii="Garamond" w:hAnsi="Garamond"/>
          <w:color w:val="000000"/>
        </w:rPr>
      </w:pPr>
      <w:r>
        <w:rPr>
          <w:rFonts w:ascii="Garamond" w:hAnsi="Garamond"/>
          <w:color w:val="000000"/>
        </w:rPr>
        <w:t>Právnické a podnikající fyzické osoby zapojené do obecního systému předávají na základě smlouvy s obcí komunální odpad podle čl. 2 písm. a)–e) a i):</w:t>
      </w:r>
    </w:p>
    <w:p>
      <w:pPr>
        <w:pStyle w:val="Normal"/>
        <w:numPr>
          <w:ilvl w:val="1"/>
          <w:numId w:val="1"/>
        </w:numPr>
        <w:spacing w:lineRule="auto" w:line="240"/>
        <w:ind w:left="847" w:hanging="281"/>
        <w:jc w:val="both"/>
        <w:rPr>
          <w:rFonts w:ascii="Garamond" w:hAnsi="Garamond"/>
          <w:color w:val="000000"/>
        </w:rPr>
      </w:pPr>
      <w:r>
        <w:rPr>
          <w:rFonts w:ascii="Garamond" w:hAnsi="Garamond"/>
          <w:color w:val="000000"/>
        </w:rPr>
        <w:t>do zvláštní sběrné nádoby pro směsný odpad na individuálním stanovišti,</w:t>
      </w:r>
    </w:p>
    <w:p>
      <w:pPr>
        <w:pStyle w:val="Normal"/>
        <w:numPr>
          <w:ilvl w:val="1"/>
          <w:numId w:val="1"/>
        </w:numPr>
        <w:spacing w:lineRule="auto" w:line="240"/>
        <w:ind w:left="847" w:hanging="281"/>
        <w:jc w:val="both"/>
        <w:rPr>
          <w:rFonts w:ascii="Garamond" w:hAnsi="Garamond"/>
          <w:color w:val="000000"/>
        </w:rPr>
      </w:pPr>
      <w:r>
        <w:rPr>
          <w:rFonts w:ascii="Garamond" w:hAnsi="Garamond"/>
          <w:color w:val="000000"/>
        </w:rPr>
        <w:t>do zvláštních sběrných nádob na individuálním stanovišti:</w:t>
      </w:r>
    </w:p>
    <w:p>
      <w:pPr>
        <w:pStyle w:val="Normal"/>
        <w:spacing w:lineRule="auto" w:line="240"/>
        <w:ind w:left="851" w:hanging="0"/>
        <w:rPr>
          <w:rFonts w:ascii="Garamond" w:hAnsi="Garamond"/>
          <w:color w:val="000000"/>
        </w:rPr>
      </w:pPr>
      <w:r>
        <w:rPr>
          <w:rFonts w:ascii="Garamond" w:hAnsi="Garamond"/>
          <w:color w:val="000000"/>
        </w:rPr>
        <w:t>ba) plast – barva žlutá,</w:t>
      </w:r>
    </w:p>
    <w:p>
      <w:pPr>
        <w:pStyle w:val="Normal"/>
        <w:spacing w:lineRule="auto" w:line="240"/>
        <w:ind w:left="851" w:hanging="0"/>
        <w:rPr>
          <w:rFonts w:ascii="Garamond" w:hAnsi="Garamond"/>
          <w:color w:val="000000"/>
        </w:rPr>
      </w:pPr>
      <w:r>
        <w:rPr>
          <w:rFonts w:ascii="Garamond" w:hAnsi="Garamond"/>
          <w:color w:val="000000"/>
        </w:rPr>
        <w:t>bb) papír – barva modrá,</w:t>
      </w:r>
    </w:p>
    <w:p>
      <w:pPr>
        <w:pStyle w:val="Normal"/>
        <w:spacing w:lineRule="auto" w:line="240"/>
        <w:ind w:left="851" w:hanging="0"/>
        <w:rPr>
          <w:rFonts w:ascii="Garamond" w:hAnsi="Garamond"/>
          <w:color w:val="000000"/>
        </w:rPr>
      </w:pPr>
      <w:r>
        <w:rPr>
          <w:rFonts w:ascii="Garamond" w:hAnsi="Garamond"/>
          <w:color w:val="000000"/>
        </w:rPr>
        <w:t>bc) bioodpad – barva hnědá;</w:t>
      </w:r>
    </w:p>
    <w:p>
      <w:pPr>
        <w:pStyle w:val="Normal"/>
        <w:numPr>
          <w:ilvl w:val="1"/>
          <w:numId w:val="1"/>
        </w:numPr>
        <w:spacing w:lineRule="auto" w:line="240"/>
        <w:ind w:left="847" w:hanging="281"/>
        <w:rPr>
          <w:rFonts w:ascii="Garamond" w:hAnsi="Garamond"/>
          <w:color w:val="000000"/>
        </w:rPr>
      </w:pPr>
      <w:r>
        <w:rPr>
          <w:rFonts w:ascii="Garamond" w:hAnsi="Garamond"/>
          <w:color w:val="000000"/>
        </w:rPr>
        <w:t xml:space="preserve">do zvláštních sběrných nádob na tříděný odpad, které jsou umístěny na společných stanovištích a jsou barevně odlišeny a označeny příslušnými nápisy: </w:t>
      </w:r>
    </w:p>
    <w:p>
      <w:pPr>
        <w:pStyle w:val="Normal"/>
        <w:spacing w:lineRule="auto" w:line="240"/>
        <w:ind w:left="851" w:hanging="0"/>
        <w:rPr>
          <w:rFonts w:ascii="Garamond" w:hAnsi="Garamond"/>
          <w:color w:val="000000"/>
        </w:rPr>
      </w:pPr>
      <w:r>
        <w:rPr>
          <w:rFonts w:ascii="Garamond" w:hAnsi="Garamond"/>
          <w:color w:val="000000"/>
        </w:rPr>
        <w:t>ca) sklo – barva bílá nebo zelená,</w:t>
      </w:r>
    </w:p>
    <w:p>
      <w:pPr>
        <w:pStyle w:val="Normal"/>
        <w:spacing w:lineRule="auto" w:line="240"/>
        <w:ind w:left="851" w:hanging="0"/>
        <w:rPr>
          <w:rFonts w:ascii="Garamond" w:hAnsi="Garamond"/>
          <w:color w:val="000000"/>
        </w:rPr>
      </w:pPr>
      <w:r>
        <w:rPr>
          <w:rFonts w:ascii="Garamond" w:hAnsi="Garamond"/>
          <w:color w:val="000000"/>
        </w:rPr>
        <w:t>cb) kovy – barva šedá.</w:t>
      </w:r>
    </w:p>
    <w:p>
      <w:pPr>
        <w:pStyle w:val="ListParagraph"/>
        <w:numPr>
          <w:ilvl w:val="0"/>
          <w:numId w:val="6"/>
        </w:numPr>
        <w:spacing w:lineRule="auto" w:line="240" w:before="0" w:after="120"/>
        <w:ind w:left="569" w:hanging="569"/>
        <w:contextualSpacing/>
        <w:jc w:val="both"/>
        <w:rPr>
          <w:rFonts w:ascii="Garamond" w:hAnsi="Garamond"/>
          <w:color w:val="000000"/>
          <w:sz w:val="24"/>
          <w:szCs w:val="24"/>
        </w:rPr>
      </w:pPr>
      <w:r>
        <w:rPr>
          <w:rFonts w:eastAsia="Times New Roman" w:ascii="Garamond" w:hAnsi="Garamond"/>
          <w:color w:val="000000"/>
          <w:sz w:val="24"/>
          <w:szCs w:val="24"/>
        </w:rPr>
        <w:t>Výše úhrady za zapojení do obecního systému se stanoví dle kapacity soustřeďovacích prostředků.</w:t>
      </w:r>
    </w:p>
    <w:p>
      <w:pPr>
        <w:pStyle w:val="Normal"/>
        <w:numPr>
          <w:ilvl w:val="0"/>
          <w:numId w:val="6"/>
        </w:numPr>
        <w:spacing w:lineRule="auto" w:line="240" w:before="0" w:after="120"/>
        <w:ind w:left="569" w:hanging="569"/>
        <w:jc w:val="both"/>
        <w:rPr>
          <w:rFonts w:ascii="Garamond" w:hAnsi="Garamond"/>
          <w:color w:val="000000"/>
        </w:rPr>
      </w:pPr>
      <w:r>
        <w:rPr>
          <w:rFonts w:ascii="Garamond" w:hAnsi="Garamond"/>
          <w:color w:val="000000"/>
        </w:rPr>
        <w:t>Úhrada se vybírá jednorázově na celý rok,</w:t>
      </w:r>
      <w:r>
        <w:rPr>
          <w:rFonts w:ascii="Garamond" w:hAnsi="Garamond"/>
          <w:color w:val="00B0F0"/>
        </w:rPr>
        <w:t xml:space="preserve"> </w:t>
      </w:r>
      <w:r>
        <w:rPr>
          <w:rFonts w:ascii="Garamond" w:hAnsi="Garamond"/>
          <w:color w:val="000000"/>
        </w:rPr>
        <w:t>a to převodem na bankovní účet obce Třebotov, který je uveden ve smlouvě.</w:t>
      </w:r>
    </w:p>
    <w:p>
      <w:pPr>
        <w:pStyle w:val="Normal"/>
        <w:spacing w:lineRule="auto" w:line="240" w:before="0" w:after="120"/>
        <w:ind w:left="0" w:hanging="0"/>
        <w:jc w:val="both"/>
        <w:rPr>
          <w:rFonts w:ascii="Garamond" w:hAnsi="Garamond"/>
          <w:color w:val="000000"/>
        </w:rPr>
      </w:pPr>
      <w:r>
        <w:rPr>
          <w:rFonts w:ascii="Garamond" w:hAnsi="Garamond"/>
          <w:color w:val="000000"/>
        </w:rPr>
      </w:r>
    </w:p>
    <w:p>
      <w:pPr>
        <w:pStyle w:val="Normal"/>
        <w:spacing w:lineRule="auto" w:line="240" w:before="0" w:after="120"/>
        <w:ind w:left="0" w:hanging="2"/>
        <w:jc w:val="center"/>
        <w:rPr>
          <w:rFonts w:ascii="Garamond" w:hAnsi="Garamond"/>
          <w:b/>
          <w:color w:val="000000"/>
        </w:rPr>
      </w:pPr>
      <w:r>
        <w:rPr>
          <w:rFonts w:ascii="Garamond" w:hAnsi="Garamond"/>
          <w:b/>
          <w:color w:val="000000"/>
        </w:rPr>
      </w:r>
    </w:p>
    <w:p>
      <w:pPr>
        <w:pStyle w:val="Normal"/>
        <w:spacing w:lineRule="auto" w:line="240" w:before="0" w:after="120"/>
        <w:ind w:left="0" w:hanging="2"/>
        <w:jc w:val="center"/>
        <w:rPr>
          <w:rFonts w:ascii="Garamond" w:hAnsi="Garamond"/>
          <w:b/>
          <w:color w:val="000000"/>
        </w:rPr>
      </w:pPr>
      <w:r>
        <w:rPr>
          <w:rFonts w:ascii="Garamond" w:hAnsi="Garamond"/>
          <w:b/>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Čl. 8</w:t>
      </w:r>
    </w:p>
    <w:p>
      <w:pPr>
        <w:pStyle w:val="Normal"/>
        <w:keepNext w:val="true"/>
        <w:spacing w:lineRule="auto" w:line="240" w:before="0" w:after="120"/>
        <w:ind w:left="0" w:hanging="2"/>
        <w:jc w:val="center"/>
        <w:rPr>
          <w:rFonts w:ascii="Garamond" w:hAnsi="Garamond"/>
          <w:color w:val="00B0F0"/>
          <w:u w:val="single"/>
        </w:rPr>
      </w:pPr>
      <w:r>
        <w:rPr>
          <w:rFonts w:ascii="Garamond" w:hAnsi="Garamond"/>
          <w:b/>
          <w:color w:val="000000"/>
        </w:rPr>
        <w:t>Nakládání s movitými věcmi v rámci předcházení vzniku odpadu</w:t>
      </w:r>
    </w:p>
    <w:p>
      <w:pPr>
        <w:pStyle w:val="Normal"/>
        <w:numPr>
          <w:ilvl w:val="0"/>
          <w:numId w:val="12"/>
        </w:numPr>
        <w:spacing w:lineRule="auto" w:line="240" w:before="0" w:after="120"/>
        <w:ind w:left="569" w:hanging="569"/>
        <w:jc w:val="both"/>
        <w:rPr>
          <w:rFonts w:ascii="Garamond" w:hAnsi="Garamond"/>
          <w:color w:val="000000"/>
        </w:rPr>
      </w:pPr>
      <w:r>
        <w:rPr>
          <w:rFonts w:ascii="Garamond" w:hAnsi="Garamond"/>
          <w:color w:val="000000"/>
        </w:rPr>
        <w:t>Obec v rámci předcházení vzniku odpadu za účelem jejich opětovného použití nakládá s oděvy, bytovým textilem, obuví a hračkami, které lze odkládat do zvláštních kontejnerů k tomu určených. Umístění kontejnerů je zveřejněno na webových stránkách obce.</w:t>
      </w:r>
    </w:p>
    <w:p>
      <w:pPr>
        <w:pStyle w:val="Normal"/>
        <w:numPr>
          <w:ilvl w:val="0"/>
          <w:numId w:val="12"/>
        </w:numPr>
        <w:spacing w:lineRule="auto" w:line="240" w:before="0" w:after="120"/>
        <w:ind w:left="569" w:hanging="569"/>
        <w:jc w:val="both"/>
        <w:rPr>
          <w:rFonts w:ascii="Garamond" w:hAnsi="Garamond"/>
          <w:color w:val="000000"/>
        </w:rPr>
      </w:pPr>
      <w:r>
        <w:rPr>
          <w:rFonts w:ascii="Garamond" w:hAnsi="Garamond"/>
          <w:color w:val="000000"/>
        </w:rPr>
        <w:t xml:space="preserve">Movitá věc musí být předána v takovém stavu, aby bylo možné její opětovné použití. </w:t>
      </w:r>
    </w:p>
    <w:p>
      <w:pPr>
        <w:pStyle w:val="Normal"/>
        <w:spacing w:lineRule="auto" w:line="240" w:before="0" w:after="120"/>
        <w:ind w:left="0" w:hanging="2"/>
        <w:jc w:val="both"/>
        <w:rPr>
          <w:rFonts w:ascii="Garamond" w:hAnsi="Garamond"/>
          <w:color w:val="000000"/>
        </w:rPr>
      </w:pPr>
      <w:r>
        <w:rPr>
          <w:rFonts w:ascii="Garamond" w:hAnsi="Garamond"/>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 xml:space="preserve">Čl. </w:t>
      </w:r>
      <w:r>
        <w:rPr>
          <w:rFonts w:ascii="Garamond" w:hAnsi="Garamond"/>
          <w:b/>
        </w:rPr>
        <w:t>9</w:t>
      </w:r>
    </w:p>
    <w:p>
      <w:pPr>
        <w:pStyle w:val="Normal"/>
        <w:spacing w:lineRule="auto" w:line="240" w:before="0" w:after="120"/>
        <w:ind w:left="0" w:hanging="2"/>
        <w:jc w:val="center"/>
        <w:rPr>
          <w:rFonts w:ascii="Garamond" w:hAnsi="Garamond"/>
          <w:color w:val="000000"/>
        </w:rPr>
      </w:pPr>
      <w:r>
        <w:rPr>
          <w:rFonts w:ascii="Garamond" w:hAnsi="Garamond"/>
          <w:b/>
          <w:color w:val="000000"/>
        </w:rPr>
        <w:t>Zrušovací ustanovení</w:t>
      </w:r>
    </w:p>
    <w:p>
      <w:pPr>
        <w:pStyle w:val="Normal"/>
        <w:spacing w:lineRule="auto" w:line="240" w:before="0" w:after="120"/>
        <w:ind w:left="0" w:hanging="0"/>
        <w:jc w:val="both"/>
        <w:rPr>
          <w:rFonts w:ascii="Garamond" w:hAnsi="Garamond"/>
          <w:color w:val="000000"/>
        </w:rPr>
      </w:pPr>
      <w:r>
        <w:rPr>
          <w:rFonts w:ascii="Garamond" w:hAnsi="Garamond"/>
          <w:color w:val="000000"/>
        </w:rPr>
        <w:t>Zrušuje se obecně závazná vyhláška obce Třebotov č. 1/2022 ze dne 16. 12. 2021 o stanovení obecního systému odpadového hospodářství.</w:t>
        <w:tab/>
      </w:r>
    </w:p>
    <w:p>
      <w:pPr>
        <w:pStyle w:val="Normal"/>
        <w:spacing w:lineRule="auto" w:line="240" w:before="0" w:after="120"/>
        <w:ind w:left="0" w:hanging="0"/>
        <w:jc w:val="both"/>
        <w:rPr>
          <w:rFonts w:ascii="Garamond" w:hAnsi="Garamond"/>
          <w:color w:val="000000"/>
        </w:rPr>
      </w:pPr>
      <w:r>
        <w:rPr>
          <w:rFonts w:ascii="Garamond" w:hAnsi="Garamond"/>
          <w:color w:val="000000"/>
        </w:rPr>
      </w:r>
    </w:p>
    <w:p>
      <w:pPr>
        <w:pStyle w:val="Normal"/>
        <w:spacing w:lineRule="auto" w:line="240" w:before="0" w:after="120"/>
        <w:ind w:left="0" w:hanging="2"/>
        <w:jc w:val="center"/>
        <w:rPr>
          <w:rFonts w:ascii="Garamond" w:hAnsi="Garamond"/>
          <w:color w:val="000000"/>
        </w:rPr>
      </w:pPr>
      <w:r>
        <w:rPr>
          <w:rFonts w:ascii="Garamond" w:hAnsi="Garamond"/>
          <w:b/>
          <w:color w:val="000000"/>
        </w:rPr>
        <w:t xml:space="preserve">Čl. </w:t>
      </w:r>
      <w:r>
        <w:rPr>
          <w:rFonts w:ascii="Garamond" w:hAnsi="Garamond"/>
          <w:b/>
        </w:rPr>
        <w:t>10</w:t>
      </w:r>
    </w:p>
    <w:p>
      <w:pPr>
        <w:pStyle w:val="Normal"/>
        <w:spacing w:lineRule="auto" w:line="240" w:before="0" w:after="120"/>
        <w:ind w:left="0" w:hanging="2"/>
        <w:jc w:val="center"/>
        <w:rPr>
          <w:rFonts w:ascii="Garamond" w:hAnsi="Garamond"/>
          <w:color w:val="000000"/>
        </w:rPr>
      </w:pPr>
      <w:r>
        <w:rPr>
          <w:rFonts w:ascii="Garamond" w:hAnsi="Garamond"/>
          <w:b/>
          <w:color w:val="000000"/>
        </w:rPr>
        <w:t>Účinnost</w:t>
      </w:r>
    </w:p>
    <w:p>
      <w:pPr>
        <w:pStyle w:val="Normal"/>
        <w:spacing w:lineRule="auto" w:line="240" w:before="0" w:after="120"/>
        <w:ind w:left="0" w:hanging="0"/>
        <w:jc w:val="both"/>
        <w:rPr>
          <w:rFonts w:ascii="Garamond" w:hAnsi="Garamond"/>
          <w:color w:val="000000"/>
        </w:rPr>
      </w:pPr>
      <w:r>
        <w:rPr>
          <w:rFonts w:ascii="Garamond" w:hAnsi="Garamond"/>
          <w:color w:val="000000"/>
        </w:rPr>
      </w:r>
    </w:p>
    <w:p>
      <w:pPr>
        <w:pStyle w:val="Normal"/>
        <w:spacing w:lineRule="auto" w:line="240" w:before="0" w:after="120"/>
        <w:ind w:left="0" w:hanging="0"/>
        <w:jc w:val="both"/>
        <w:rPr>
          <w:rFonts w:ascii="Garamond" w:hAnsi="Garamond"/>
          <w:color w:val="000000"/>
        </w:rPr>
      </w:pPr>
      <w:r>
        <w:rPr>
          <w:rFonts w:ascii="Garamond" w:hAnsi="Garamond"/>
          <w:color w:val="000000"/>
        </w:rPr>
        <w:t>Tato vyhláška nabývá účinnosti dnem 1. 1. 2024.</w:t>
      </w:r>
    </w:p>
    <w:p>
      <w:pPr>
        <w:pStyle w:val="Normal"/>
        <w:spacing w:lineRule="auto" w:line="240"/>
        <w:ind w:left="0" w:hanging="2"/>
        <w:jc w:val="both"/>
        <w:rPr>
          <w:rFonts w:ascii="Garamond" w:hAnsi="Garamond"/>
          <w:color w:val="000000"/>
        </w:rPr>
      </w:pPr>
      <w:r>
        <w:rPr>
          <w:rFonts w:ascii="Garamond" w:hAnsi="Garamond"/>
          <w:color w:val="000000"/>
        </w:rPr>
      </w:r>
    </w:p>
    <w:p>
      <w:pPr>
        <w:pStyle w:val="Normal"/>
        <w:spacing w:lineRule="auto" w:line="240"/>
        <w:ind w:left="0" w:hanging="2"/>
        <w:jc w:val="both"/>
        <w:rPr>
          <w:rFonts w:ascii="Garamond" w:hAnsi="Garamond"/>
          <w:color w:val="000000"/>
        </w:rPr>
      </w:pPr>
      <w:r>
        <w:rPr>
          <w:rFonts w:ascii="Garamond" w:hAnsi="Garamond"/>
          <w:color w:val="000000"/>
        </w:rPr>
      </w:r>
    </w:p>
    <w:p>
      <w:pPr>
        <w:pStyle w:val="Normal"/>
        <w:spacing w:lineRule="auto" w:line="240"/>
        <w:ind w:left="0" w:hanging="2"/>
        <w:jc w:val="both"/>
        <w:rPr>
          <w:rFonts w:ascii="Garamond" w:hAnsi="Garamond"/>
          <w:color w:val="000000"/>
        </w:rPr>
      </w:pPr>
      <w:r>
        <w:rPr>
          <w:rFonts w:ascii="Garamond" w:hAnsi="Garamond"/>
          <w:color w:val="000000"/>
        </w:rPr>
      </w:r>
    </w:p>
    <w:p>
      <w:pPr>
        <w:pStyle w:val="Normal"/>
        <w:spacing w:lineRule="auto" w:line="240"/>
        <w:ind w:left="0" w:hanging="2"/>
        <w:jc w:val="both"/>
        <w:rPr>
          <w:rFonts w:ascii="Garamond" w:hAnsi="Garamond"/>
          <w:color w:val="000000"/>
        </w:rPr>
      </w:pPr>
      <w:r>
        <w:rPr>
          <w:rFonts w:ascii="Garamond" w:hAnsi="Garamond"/>
          <w:color w:val="000000"/>
        </w:rPr>
      </w:r>
    </w:p>
    <w:p>
      <w:pPr>
        <w:pStyle w:val="Normal"/>
        <w:spacing w:lineRule="auto" w:line="240"/>
        <w:ind w:left="0" w:hanging="2"/>
        <w:jc w:val="both"/>
        <w:rPr>
          <w:rFonts w:ascii="Garamond" w:hAnsi="Garamond"/>
          <w:color w:val="000000"/>
        </w:rPr>
      </w:pPr>
      <w:r>
        <w:rPr>
          <w:rFonts w:ascii="Garamond" w:hAnsi="Garamond"/>
          <w:color w:val="000000"/>
        </w:rPr>
      </w:r>
    </w:p>
    <w:p>
      <w:pPr>
        <w:pStyle w:val="Normal"/>
        <w:tabs>
          <w:tab w:val="clear" w:pos="720"/>
          <w:tab w:val="center" w:pos="2268" w:leader="none"/>
          <w:tab w:val="center" w:pos="6804" w:leader="none"/>
        </w:tabs>
        <w:spacing w:lineRule="auto" w:line="264"/>
        <w:ind w:left="0" w:hanging="2"/>
        <w:rPr>
          <w:rFonts w:ascii="Garamond" w:hAnsi="Garamond" w:eastAsia="Arial" w:cs="Arial"/>
          <w:iCs/>
          <w:color w:val="000000"/>
        </w:rPr>
      </w:pPr>
      <w:r>
        <w:rPr>
          <w:rFonts w:cs="Arial" w:ascii="Arial" w:hAnsi="Arial"/>
          <w:iCs/>
          <w:sz w:val="22"/>
          <w:szCs w:val="22"/>
        </w:rPr>
        <w:tab/>
        <w:tab/>
        <w:t>..........................................</w:t>
      </w:r>
      <w:r>
        <w:rPr>
          <w:rFonts w:eastAsia="Arial" w:cs="Arial" w:ascii="Garamond" w:hAnsi="Garamond"/>
          <w:iCs/>
          <w:color w:val="000000"/>
        </w:rPr>
        <w:tab/>
      </w:r>
      <w:r>
        <w:rPr>
          <w:rFonts w:cs="Arial" w:ascii="Arial" w:hAnsi="Arial"/>
          <w:iCs/>
          <w:sz w:val="22"/>
          <w:szCs w:val="22"/>
        </w:rPr>
        <w:t>..........................................</w:t>
      </w:r>
    </w:p>
    <w:p>
      <w:pPr>
        <w:pStyle w:val="Normal"/>
        <w:tabs>
          <w:tab w:val="clear" w:pos="720"/>
          <w:tab w:val="center" w:pos="2268" w:leader="none"/>
          <w:tab w:val="center" w:pos="6804" w:leader="none"/>
        </w:tabs>
        <w:spacing w:lineRule="auto" w:line="264"/>
        <w:ind w:left="0" w:hanging="2"/>
        <w:rPr>
          <w:rFonts w:ascii="Garamond" w:hAnsi="Garamond" w:eastAsia="Arial" w:cs="Arial"/>
          <w:color w:val="000000"/>
        </w:rPr>
      </w:pPr>
      <w:r>
        <w:rPr>
          <w:rFonts w:eastAsia="Arial" w:cs="Arial" w:ascii="Garamond" w:hAnsi="Garamond"/>
          <w:color w:val="000000"/>
        </w:rPr>
        <w:tab/>
        <w:tab/>
        <w:t>Filip Kočí</w:t>
        <w:tab/>
        <w:t>Ing. Matěj Král</w:t>
      </w:r>
    </w:p>
    <w:p>
      <w:pPr>
        <w:pStyle w:val="Normal"/>
        <w:tabs>
          <w:tab w:val="clear" w:pos="720"/>
          <w:tab w:val="center" w:pos="2268" w:leader="none"/>
          <w:tab w:val="center" w:pos="6804" w:leader="none"/>
        </w:tabs>
        <w:spacing w:lineRule="auto" w:line="264"/>
        <w:ind w:left="0" w:hanging="2"/>
        <w:rPr>
          <w:rFonts w:ascii="Garamond" w:hAnsi="Garamond" w:eastAsia="Arial" w:cs="Arial"/>
          <w:color w:val="000000"/>
        </w:rPr>
      </w:pPr>
      <w:r>
        <w:rPr>
          <w:rFonts w:eastAsia="Arial" w:cs="Arial" w:ascii="Garamond" w:hAnsi="Garamond"/>
          <w:color w:val="000000"/>
        </w:rPr>
        <w:t xml:space="preserve">             </w:t>
      </w:r>
      <w:r>
        <w:rPr>
          <w:rFonts w:eastAsia="Arial" w:cs="Arial" w:ascii="Garamond" w:hAnsi="Garamond"/>
          <w:color w:val="000000"/>
        </w:rPr>
        <w:tab/>
        <w:t>místostarosta</w:t>
        <w:tab/>
        <w:t>starosta</w:t>
      </w:r>
    </w:p>
    <w:p>
      <w:pPr>
        <w:pStyle w:val="Normal"/>
        <w:tabs>
          <w:tab w:val="clear" w:pos="720"/>
          <w:tab w:val="center" w:pos="2268" w:leader="none"/>
          <w:tab w:val="center" w:pos="6804" w:leader="none"/>
        </w:tabs>
        <w:spacing w:lineRule="auto" w:line="240"/>
        <w:ind w:left="0" w:hanging="2"/>
        <w:rPr>
          <w:rFonts w:ascii="Garamond" w:hAnsi="Garamond"/>
          <w:color w:val="000000"/>
        </w:rPr>
      </w:pPr>
      <w:r>
        <w:rPr>
          <w:rFonts w:ascii="Garamond" w:hAnsi="Garamond"/>
          <w:color w:val="000000"/>
        </w:rPr>
        <w:tab/>
        <w:tab/>
        <w:tab/>
        <w:tab/>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418" w:right="1418" w:gutter="0" w:header="709" w:top="1134" w:footer="709" w:bottom="99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Arial">
    <w:charset w:val="ee"/>
    <w:family w:val="roman"/>
    <w:pitch w:val="variable"/>
  </w:font>
  <w:font w:name="Georgia">
    <w:charset w:val="ee"/>
    <w:family w:val="roman"/>
    <w:pitch w:val="variable"/>
  </w:font>
  <w:font w:name="Garamond">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ind w:left="0" w:hanging="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lineRule="auto" w:line="240"/>
      <w:ind w:left="0" w:hanging="2"/>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lineRule="auto" w:line="240"/>
      <w:ind w:left="0" w:hanging="2"/>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left="0" w:hanging="2"/>
        <w:rPr>
          <w:color w:val="000000"/>
          <w:sz w:val="20"/>
          <w:szCs w:val="20"/>
        </w:rPr>
      </w:pPr>
      <w:r>
        <w:rPr>
          <w:rStyle w:val="Znakypropoznmkupodarou"/>
        </w:rPr>
        <w:footnoteRef/>
      </w:r>
      <w:r>
        <w:rPr>
          <w:color w:val="000000"/>
          <w:sz w:val="20"/>
          <w:szCs w:val="20"/>
        </w:rPr>
        <w:tab/>
        <w:t xml:space="preserve"> </w:t>
      </w:r>
      <w:r>
        <w:rPr>
          <w:color w:val="000000"/>
          <w:sz w:val="20"/>
          <w:szCs w:val="20"/>
        </w:rPr>
        <w:t>§ 61 zákona o odpadech</w:t>
      </w:r>
    </w:p>
  </w:footnote>
  <w:footnote w:id="3">
    <w:p>
      <w:pPr>
        <w:pStyle w:val="Normal"/>
        <w:spacing w:lineRule="auto" w:line="240"/>
        <w:ind w:left="0" w:hanging="2"/>
        <w:rPr>
          <w:color w:val="000000"/>
          <w:sz w:val="20"/>
          <w:szCs w:val="20"/>
        </w:rPr>
      </w:pPr>
      <w:r>
        <w:rPr>
          <w:rStyle w:val="Znakypropoznmkupodarou"/>
        </w:rPr>
        <w:footnoteRef/>
      </w:r>
      <w:r>
        <w:rPr>
          <w:color w:val="000000"/>
          <w:sz w:val="20"/>
          <w:szCs w:val="20"/>
        </w:rPr>
        <w:tab/>
        <w:t xml:space="preserve"> </w:t>
      </w:r>
      <w:r>
        <w:rPr>
          <w:color w:val="000000"/>
          <w:sz w:val="20"/>
          <w:szCs w:val="20"/>
        </w:rPr>
        <w:t>§ 60 zákona o odpadech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hanging="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hanging="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vertAlign w:val="baseline"/>
        <w:position w:val="0"/>
        <w:sz w:val="20"/>
        <w:sz w:val="20"/>
        <w:i w:val="false"/>
        <w:color w:val="000000"/>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2">
    <w:lvl w:ilvl="0">
      <w:start w:val="1"/>
      <w:numFmt w:val="decimal"/>
      <w:lvlText w:val="%1)"/>
      <w:lvlJc w:val="left"/>
      <w:pPr>
        <w:tabs>
          <w:tab w:val="num" w:pos="0"/>
        </w:tabs>
        <w:ind w:left="360" w:hanging="360"/>
      </w:pPr>
      <w:rPr>
        <w:vertAlign w:val="baseline"/>
        <w:position w:val="0"/>
        <w:sz w:val="20"/>
        <w:sz w:val="20"/>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3">
    <w:lvl w:ilvl="0">
      <w:start w:val="1"/>
      <w:numFmt w:val="lowerLetter"/>
      <w:lvlText w:val="%1)"/>
      <w:lvlJc w:val="left"/>
      <w:pPr>
        <w:tabs>
          <w:tab w:val="num" w:pos="0"/>
        </w:tabs>
        <w:ind w:left="786" w:hanging="360"/>
      </w:pPr>
      <w:rPr>
        <w:vertAlign w:val="baseline"/>
        <w:position w:val="0"/>
        <w:sz w:val="20"/>
        <w:sz w:val="20"/>
      </w:rPr>
    </w:lvl>
    <w:lvl w:ilvl="1">
      <w:start w:val="1"/>
      <w:numFmt w:val="decimal"/>
      <w:lvlText w:val="%2)"/>
      <w:lvlJc w:val="left"/>
      <w:pPr>
        <w:tabs>
          <w:tab w:val="num" w:pos="0"/>
        </w:tabs>
        <w:ind w:left="1856" w:hanging="710"/>
      </w:pPr>
      <w:rPr>
        <w:vertAlign w:val="baseline"/>
        <w:position w:val="0"/>
        <w:sz w:val="20"/>
        <w:sz w:val="20"/>
      </w:rPr>
    </w:lvl>
    <w:lvl w:ilvl="2">
      <w:start w:val="1"/>
      <w:numFmt w:val="lowerRoman"/>
      <w:lvlText w:val="%3."/>
      <w:lvlJc w:val="right"/>
      <w:pPr>
        <w:tabs>
          <w:tab w:val="num" w:pos="0"/>
        </w:tabs>
        <w:ind w:left="2226" w:hanging="180"/>
      </w:pPr>
      <w:rPr>
        <w:vertAlign w:val="baseline"/>
        <w:position w:val="0"/>
        <w:sz w:val="20"/>
        <w:sz w:val="20"/>
      </w:rPr>
    </w:lvl>
    <w:lvl w:ilvl="3">
      <w:start w:val="1"/>
      <w:numFmt w:val="decimal"/>
      <w:lvlText w:val="%4."/>
      <w:lvlJc w:val="left"/>
      <w:pPr>
        <w:tabs>
          <w:tab w:val="num" w:pos="0"/>
        </w:tabs>
        <w:ind w:left="2946" w:hanging="360"/>
      </w:pPr>
      <w:rPr>
        <w:vertAlign w:val="baseline"/>
        <w:position w:val="0"/>
        <w:sz w:val="20"/>
        <w:sz w:val="20"/>
      </w:rPr>
    </w:lvl>
    <w:lvl w:ilvl="4">
      <w:start w:val="1"/>
      <w:numFmt w:val="lowerLetter"/>
      <w:lvlText w:val="%5."/>
      <w:lvlJc w:val="left"/>
      <w:pPr>
        <w:tabs>
          <w:tab w:val="num" w:pos="0"/>
        </w:tabs>
        <w:ind w:left="3666" w:hanging="360"/>
      </w:pPr>
      <w:rPr>
        <w:vertAlign w:val="baseline"/>
        <w:position w:val="0"/>
        <w:sz w:val="20"/>
        <w:sz w:val="20"/>
      </w:rPr>
    </w:lvl>
    <w:lvl w:ilvl="5">
      <w:start w:val="1"/>
      <w:numFmt w:val="lowerRoman"/>
      <w:lvlText w:val="%6."/>
      <w:lvlJc w:val="right"/>
      <w:pPr>
        <w:tabs>
          <w:tab w:val="num" w:pos="0"/>
        </w:tabs>
        <w:ind w:left="4386" w:hanging="180"/>
      </w:pPr>
      <w:rPr>
        <w:vertAlign w:val="baseline"/>
        <w:position w:val="0"/>
        <w:sz w:val="20"/>
        <w:sz w:val="20"/>
      </w:rPr>
    </w:lvl>
    <w:lvl w:ilvl="6">
      <w:start w:val="1"/>
      <w:numFmt w:val="decimal"/>
      <w:lvlText w:val="%7."/>
      <w:lvlJc w:val="left"/>
      <w:pPr>
        <w:tabs>
          <w:tab w:val="num" w:pos="0"/>
        </w:tabs>
        <w:ind w:left="5106" w:hanging="360"/>
      </w:pPr>
      <w:rPr>
        <w:vertAlign w:val="baseline"/>
        <w:position w:val="0"/>
        <w:sz w:val="20"/>
        <w:sz w:val="20"/>
      </w:rPr>
    </w:lvl>
    <w:lvl w:ilvl="7">
      <w:start w:val="1"/>
      <w:numFmt w:val="lowerLetter"/>
      <w:lvlText w:val="%8."/>
      <w:lvlJc w:val="left"/>
      <w:pPr>
        <w:tabs>
          <w:tab w:val="num" w:pos="0"/>
        </w:tabs>
        <w:ind w:left="5826" w:hanging="360"/>
      </w:pPr>
      <w:rPr>
        <w:vertAlign w:val="baseline"/>
        <w:position w:val="0"/>
        <w:sz w:val="20"/>
        <w:sz w:val="20"/>
      </w:rPr>
    </w:lvl>
    <w:lvl w:ilvl="8">
      <w:start w:val="1"/>
      <w:numFmt w:val="lowerRoman"/>
      <w:lvlText w:val="%9."/>
      <w:lvlJc w:val="right"/>
      <w:pPr>
        <w:tabs>
          <w:tab w:val="num" w:pos="0"/>
        </w:tabs>
        <w:ind w:left="6546" w:hanging="180"/>
      </w:pPr>
      <w:rPr>
        <w:vertAlign w:val="baseline"/>
        <w:position w:val="0"/>
        <w:sz w:val="20"/>
        <w:sz w:val="20"/>
      </w:rPr>
    </w:lvl>
  </w:abstractNum>
  <w:abstractNum w:abstractNumId="4">
    <w:lvl w:ilvl="0">
      <w:start w:val="1"/>
      <w:numFmt w:val="decimal"/>
      <w:lvlText w:val="(%1)"/>
      <w:lvlJc w:val="left"/>
      <w:pPr>
        <w:tabs>
          <w:tab w:val="num" w:pos="0"/>
        </w:tabs>
        <w:ind w:left="360" w:hanging="360"/>
      </w:pPr>
      <w:rPr>
        <w:vertAlign w:val="baseline"/>
        <w:position w:val="0"/>
        <w:sz w:val="24"/>
        <w:sz w:val="24"/>
        <w:szCs w:val="24"/>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5">
    <w:lvl w:ilvl="0">
      <w:start w:val="1"/>
      <w:numFmt w:val="decimal"/>
      <w:lvlText w:val="%1)"/>
      <w:lvlJc w:val="left"/>
      <w:pPr>
        <w:tabs>
          <w:tab w:val="num" w:pos="0"/>
        </w:tabs>
        <w:ind w:left="360" w:hanging="360"/>
      </w:pPr>
      <w:rPr>
        <w:vertAlign w:val="baseline"/>
        <w:position w:val="0"/>
        <w:sz w:val="20"/>
        <w:sz w:val="20"/>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6">
    <w:lvl w:ilvl="0">
      <w:start w:val="1"/>
      <w:numFmt w:val="decimal"/>
      <w:lvlText w:val="(%1)"/>
      <w:lvlJc w:val="left"/>
      <w:pPr>
        <w:tabs>
          <w:tab w:val="num" w:pos="0"/>
        </w:tabs>
        <w:ind w:left="720" w:hanging="360"/>
      </w:pPr>
      <w:rPr>
        <w:vertAlign w:val="baseline"/>
        <w:position w:val="0"/>
        <w:sz w:val="20"/>
        <w:sz w:val="20"/>
      </w:rPr>
    </w:lvl>
    <w:lvl w:ilvl="1">
      <w:start w:val="1"/>
      <w:numFmt w:val="lowerLetter"/>
      <w:lvlText w:val="%2."/>
      <w:lvlJc w:val="left"/>
      <w:pPr>
        <w:tabs>
          <w:tab w:val="num" w:pos="0"/>
        </w:tabs>
        <w:ind w:left="1440" w:hanging="360"/>
      </w:pPr>
      <w:rPr>
        <w:vertAlign w:val="baseline"/>
        <w:position w:val="0"/>
        <w:sz w:val="20"/>
        <w:sz w:val="20"/>
      </w:rPr>
    </w:lvl>
    <w:lvl w:ilvl="2">
      <w:start w:val="1"/>
      <w:numFmt w:val="lowerRoman"/>
      <w:lvlText w:val="%3."/>
      <w:lvlJc w:val="right"/>
      <w:pPr>
        <w:tabs>
          <w:tab w:val="num" w:pos="0"/>
        </w:tabs>
        <w:ind w:left="2160" w:hanging="180"/>
      </w:pPr>
      <w:rPr>
        <w:vertAlign w:val="baseline"/>
        <w:position w:val="0"/>
        <w:sz w:val="20"/>
        <w:sz w:val="20"/>
      </w:rPr>
    </w:lvl>
    <w:lvl w:ilvl="3">
      <w:start w:val="1"/>
      <w:numFmt w:val="decimal"/>
      <w:lvlText w:val="%4."/>
      <w:lvlJc w:val="left"/>
      <w:pPr>
        <w:tabs>
          <w:tab w:val="num" w:pos="0"/>
        </w:tabs>
        <w:ind w:left="2880" w:hanging="360"/>
      </w:pPr>
      <w:rPr>
        <w:vertAlign w:val="baseline"/>
        <w:position w:val="0"/>
        <w:sz w:val="20"/>
        <w:sz w:val="20"/>
      </w:rPr>
    </w:lvl>
    <w:lvl w:ilvl="4">
      <w:start w:val="1"/>
      <w:numFmt w:val="lowerLetter"/>
      <w:lvlText w:val="%5."/>
      <w:lvlJc w:val="left"/>
      <w:pPr>
        <w:tabs>
          <w:tab w:val="num" w:pos="0"/>
        </w:tabs>
        <w:ind w:left="3600" w:hanging="360"/>
      </w:pPr>
      <w:rPr>
        <w:vertAlign w:val="baseline"/>
        <w:position w:val="0"/>
        <w:sz w:val="20"/>
        <w:sz w:val="20"/>
      </w:rPr>
    </w:lvl>
    <w:lvl w:ilvl="5">
      <w:start w:val="1"/>
      <w:numFmt w:val="lowerRoman"/>
      <w:lvlText w:val="%6."/>
      <w:lvlJc w:val="right"/>
      <w:pPr>
        <w:tabs>
          <w:tab w:val="num" w:pos="0"/>
        </w:tabs>
        <w:ind w:left="4320" w:hanging="180"/>
      </w:pPr>
      <w:rPr>
        <w:vertAlign w:val="baseline"/>
        <w:position w:val="0"/>
        <w:sz w:val="20"/>
        <w:sz w:val="20"/>
      </w:rPr>
    </w:lvl>
    <w:lvl w:ilvl="6">
      <w:start w:val="1"/>
      <w:numFmt w:val="decimal"/>
      <w:lvlText w:val="%7."/>
      <w:lvlJc w:val="left"/>
      <w:pPr>
        <w:tabs>
          <w:tab w:val="num" w:pos="0"/>
        </w:tabs>
        <w:ind w:left="5040" w:hanging="360"/>
      </w:pPr>
      <w:rPr>
        <w:vertAlign w:val="baseline"/>
        <w:position w:val="0"/>
        <w:sz w:val="20"/>
        <w:sz w:val="20"/>
      </w:rPr>
    </w:lvl>
    <w:lvl w:ilvl="7">
      <w:start w:val="1"/>
      <w:numFmt w:val="lowerLetter"/>
      <w:lvlText w:val="%8."/>
      <w:lvlJc w:val="left"/>
      <w:pPr>
        <w:tabs>
          <w:tab w:val="num" w:pos="0"/>
        </w:tabs>
        <w:ind w:left="5760" w:hanging="360"/>
      </w:pPr>
      <w:rPr>
        <w:vertAlign w:val="baseline"/>
        <w:position w:val="0"/>
        <w:sz w:val="20"/>
        <w:sz w:val="20"/>
      </w:rPr>
    </w:lvl>
    <w:lvl w:ilvl="8">
      <w:start w:val="1"/>
      <w:numFmt w:val="lowerRoman"/>
      <w:lvlText w:val="%9."/>
      <w:lvlJc w:val="right"/>
      <w:pPr>
        <w:tabs>
          <w:tab w:val="num" w:pos="0"/>
        </w:tabs>
        <w:ind w:left="6480" w:hanging="180"/>
      </w:pPr>
      <w:rPr>
        <w:vertAlign w:val="baseline"/>
        <w:position w:val="0"/>
        <w:sz w:val="20"/>
        <w:sz w:val="20"/>
      </w:rPr>
    </w:lvl>
  </w:abstractNum>
  <w:abstractNum w:abstractNumId="7">
    <w:lvl w:ilvl="0">
      <w:start w:val="1"/>
      <w:numFmt w:val="decimal"/>
      <w:lvlText w:val="(%1)"/>
      <w:lvlJc w:val="left"/>
      <w:pPr>
        <w:tabs>
          <w:tab w:val="num" w:pos="0"/>
        </w:tabs>
        <w:ind w:left="720" w:hanging="360"/>
      </w:pPr>
      <w:rPr>
        <w:vertAlign w:val="baseline"/>
        <w:position w:val="0"/>
        <w:sz w:val="20"/>
        <w:sz w:val="20"/>
        <w:color w:val="000000"/>
      </w:rPr>
    </w:lvl>
    <w:lvl w:ilvl="1">
      <w:start w:val="1"/>
      <w:numFmt w:val="lowerLetter"/>
      <w:lvlText w:val="%2."/>
      <w:lvlJc w:val="left"/>
      <w:pPr>
        <w:tabs>
          <w:tab w:val="num" w:pos="0"/>
        </w:tabs>
        <w:ind w:left="1440" w:hanging="360"/>
      </w:pPr>
      <w:rPr>
        <w:vertAlign w:val="baseline"/>
        <w:position w:val="0"/>
        <w:sz w:val="20"/>
        <w:sz w:val="20"/>
      </w:rPr>
    </w:lvl>
    <w:lvl w:ilvl="2">
      <w:start w:val="1"/>
      <w:numFmt w:val="lowerRoman"/>
      <w:lvlText w:val="%3."/>
      <w:lvlJc w:val="right"/>
      <w:pPr>
        <w:tabs>
          <w:tab w:val="num" w:pos="0"/>
        </w:tabs>
        <w:ind w:left="2160" w:hanging="180"/>
      </w:pPr>
      <w:rPr>
        <w:vertAlign w:val="baseline"/>
        <w:position w:val="0"/>
        <w:sz w:val="20"/>
        <w:sz w:val="20"/>
      </w:rPr>
    </w:lvl>
    <w:lvl w:ilvl="3">
      <w:start w:val="1"/>
      <w:numFmt w:val="decimal"/>
      <w:lvlText w:val="%4."/>
      <w:lvlJc w:val="left"/>
      <w:pPr>
        <w:tabs>
          <w:tab w:val="num" w:pos="0"/>
        </w:tabs>
        <w:ind w:left="2880" w:hanging="360"/>
      </w:pPr>
      <w:rPr>
        <w:vertAlign w:val="baseline"/>
        <w:position w:val="0"/>
        <w:sz w:val="20"/>
        <w:sz w:val="20"/>
      </w:rPr>
    </w:lvl>
    <w:lvl w:ilvl="4">
      <w:start w:val="1"/>
      <w:numFmt w:val="lowerLetter"/>
      <w:lvlText w:val="%5."/>
      <w:lvlJc w:val="left"/>
      <w:pPr>
        <w:tabs>
          <w:tab w:val="num" w:pos="0"/>
        </w:tabs>
        <w:ind w:left="3600" w:hanging="360"/>
      </w:pPr>
      <w:rPr>
        <w:vertAlign w:val="baseline"/>
        <w:position w:val="0"/>
        <w:sz w:val="20"/>
        <w:sz w:val="20"/>
      </w:rPr>
    </w:lvl>
    <w:lvl w:ilvl="5">
      <w:start w:val="1"/>
      <w:numFmt w:val="lowerRoman"/>
      <w:lvlText w:val="%6."/>
      <w:lvlJc w:val="right"/>
      <w:pPr>
        <w:tabs>
          <w:tab w:val="num" w:pos="0"/>
        </w:tabs>
        <w:ind w:left="4320" w:hanging="180"/>
      </w:pPr>
      <w:rPr>
        <w:vertAlign w:val="baseline"/>
        <w:position w:val="0"/>
        <w:sz w:val="20"/>
        <w:sz w:val="20"/>
      </w:rPr>
    </w:lvl>
    <w:lvl w:ilvl="6">
      <w:start w:val="1"/>
      <w:numFmt w:val="decimal"/>
      <w:lvlText w:val="%7."/>
      <w:lvlJc w:val="left"/>
      <w:pPr>
        <w:tabs>
          <w:tab w:val="num" w:pos="0"/>
        </w:tabs>
        <w:ind w:left="5040" w:hanging="360"/>
      </w:pPr>
      <w:rPr>
        <w:vertAlign w:val="baseline"/>
        <w:position w:val="0"/>
        <w:sz w:val="20"/>
        <w:sz w:val="20"/>
      </w:rPr>
    </w:lvl>
    <w:lvl w:ilvl="7">
      <w:start w:val="1"/>
      <w:numFmt w:val="lowerLetter"/>
      <w:lvlText w:val="%8."/>
      <w:lvlJc w:val="left"/>
      <w:pPr>
        <w:tabs>
          <w:tab w:val="num" w:pos="0"/>
        </w:tabs>
        <w:ind w:left="5760" w:hanging="360"/>
      </w:pPr>
      <w:rPr>
        <w:vertAlign w:val="baseline"/>
        <w:position w:val="0"/>
        <w:sz w:val="20"/>
        <w:sz w:val="20"/>
      </w:rPr>
    </w:lvl>
    <w:lvl w:ilvl="8">
      <w:start w:val="1"/>
      <w:numFmt w:val="lowerRoman"/>
      <w:lvlText w:val="%9."/>
      <w:lvlJc w:val="right"/>
      <w:pPr>
        <w:tabs>
          <w:tab w:val="num" w:pos="0"/>
        </w:tabs>
        <w:ind w:left="6480" w:hanging="180"/>
      </w:pPr>
      <w:rPr>
        <w:vertAlign w:val="baseline"/>
        <w:position w:val="0"/>
        <w:sz w:val="20"/>
        <w:sz w:val="20"/>
      </w:rPr>
    </w:lvl>
  </w:abstractNum>
  <w:abstractNum w:abstractNumId="8">
    <w:lvl w:ilvl="0">
      <w:start w:val="1"/>
      <w:numFmt w:val="decimal"/>
      <w:lvlText w:val="(%1)"/>
      <w:lvlJc w:val="left"/>
      <w:pPr>
        <w:tabs>
          <w:tab w:val="num" w:pos="0"/>
        </w:tabs>
        <w:ind w:left="360" w:hanging="360"/>
      </w:pPr>
      <w:rPr>
        <w:vertAlign w:val="baseline"/>
        <w:position w:val="0"/>
        <w:sz w:val="20"/>
        <w:sz w:val="20"/>
        <w:i w:val="false"/>
      </w:rPr>
    </w:lvl>
    <w:lvl w:ilvl="1">
      <w:start w:val="1"/>
      <w:numFmt w:val="lowerLetter"/>
      <w:lvlText w:val="%2."/>
      <w:lvlJc w:val="left"/>
      <w:pPr>
        <w:tabs>
          <w:tab w:val="num" w:pos="0"/>
        </w:tabs>
        <w:ind w:left="1080" w:hanging="360"/>
      </w:pPr>
      <w:rPr>
        <w:vertAlign w:val="baseline"/>
        <w:position w:val="0"/>
        <w:sz w:val="20"/>
        <w:sz w:val="20"/>
      </w:rPr>
    </w:lvl>
    <w:lvl w:ilvl="2">
      <w:start w:val="1"/>
      <w:numFmt w:val="lowerRoman"/>
      <w:lvlText w:val="%3."/>
      <w:lvlJc w:val="right"/>
      <w:pPr>
        <w:tabs>
          <w:tab w:val="num" w:pos="0"/>
        </w:tabs>
        <w:ind w:left="1800" w:hanging="180"/>
      </w:pPr>
      <w:rPr>
        <w:vertAlign w:val="baseline"/>
        <w:position w:val="0"/>
        <w:sz w:val="20"/>
        <w:sz w:val="20"/>
      </w:rPr>
    </w:lvl>
    <w:lvl w:ilvl="3">
      <w:start w:val="1"/>
      <w:numFmt w:val="decimal"/>
      <w:lvlText w:val="%4."/>
      <w:lvlJc w:val="left"/>
      <w:pPr>
        <w:tabs>
          <w:tab w:val="num" w:pos="0"/>
        </w:tabs>
        <w:ind w:left="2520" w:hanging="360"/>
      </w:pPr>
      <w:rPr>
        <w:vertAlign w:val="baseline"/>
        <w:position w:val="0"/>
        <w:sz w:val="20"/>
        <w:sz w:val="20"/>
      </w:rPr>
    </w:lvl>
    <w:lvl w:ilvl="4">
      <w:start w:val="1"/>
      <w:numFmt w:val="lowerLetter"/>
      <w:lvlText w:val="%5."/>
      <w:lvlJc w:val="left"/>
      <w:pPr>
        <w:tabs>
          <w:tab w:val="num" w:pos="0"/>
        </w:tabs>
        <w:ind w:left="3240" w:hanging="360"/>
      </w:pPr>
      <w:rPr>
        <w:vertAlign w:val="baseline"/>
        <w:position w:val="0"/>
        <w:sz w:val="20"/>
        <w:sz w:val="20"/>
      </w:rPr>
    </w:lvl>
    <w:lvl w:ilvl="5">
      <w:start w:val="1"/>
      <w:numFmt w:val="lowerRoman"/>
      <w:lvlText w:val="%6."/>
      <w:lvlJc w:val="right"/>
      <w:pPr>
        <w:tabs>
          <w:tab w:val="num" w:pos="0"/>
        </w:tabs>
        <w:ind w:left="3960" w:hanging="180"/>
      </w:pPr>
      <w:rPr>
        <w:vertAlign w:val="baseline"/>
        <w:position w:val="0"/>
        <w:sz w:val="20"/>
        <w:sz w:val="20"/>
      </w:rPr>
    </w:lvl>
    <w:lvl w:ilvl="6">
      <w:start w:val="1"/>
      <w:numFmt w:val="decimal"/>
      <w:lvlText w:val="%7."/>
      <w:lvlJc w:val="left"/>
      <w:pPr>
        <w:tabs>
          <w:tab w:val="num" w:pos="0"/>
        </w:tabs>
        <w:ind w:left="4680" w:hanging="360"/>
      </w:pPr>
      <w:rPr>
        <w:vertAlign w:val="baseline"/>
        <w:position w:val="0"/>
        <w:sz w:val="20"/>
        <w:sz w:val="20"/>
      </w:rPr>
    </w:lvl>
    <w:lvl w:ilvl="7">
      <w:start w:val="1"/>
      <w:numFmt w:val="lowerLetter"/>
      <w:lvlText w:val="%8."/>
      <w:lvlJc w:val="left"/>
      <w:pPr>
        <w:tabs>
          <w:tab w:val="num" w:pos="0"/>
        </w:tabs>
        <w:ind w:left="5400" w:hanging="360"/>
      </w:pPr>
      <w:rPr>
        <w:vertAlign w:val="baseline"/>
        <w:position w:val="0"/>
        <w:sz w:val="20"/>
        <w:sz w:val="20"/>
      </w:rPr>
    </w:lvl>
    <w:lvl w:ilvl="8">
      <w:start w:val="1"/>
      <w:numFmt w:val="lowerRoman"/>
      <w:lvlText w:val="%9."/>
      <w:lvlJc w:val="right"/>
      <w:pPr>
        <w:tabs>
          <w:tab w:val="num" w:pos="0"/>
        </w:tabs>
        <w:ind w:left="6120" w:hanging="180"/>
      </w:pPr>
      <w:rPr>
        <w:vertAlign w:val="baseline"/>
        <w:position w:val="0"/>
        <w:sz w:val="20"/>
        <w:sz w:val="20"/>
      </w:rPr>
    </w:lvl>
  </w:abstractNum>
  <w:abstractNum w:abstractNumId="9">
    <w:lvl w:ilvl="0">
      <w:start w:val="1"/>
      <w:numFmt w:val="decimal"/>
      <w:lvlText w:val="(%1)"/>
      <w:lvlJc w:val="left"/>
      <w:pPr>
        <w:tabs>
          <w:tab w:val="num" w:pos="0"/>
        </w:tabs>
        <w:ind w:left="360" w:hanging="360"/>
      </w:pPr>
      <w:rPr>
        <w:vertAlign w:val="baseline"/>
        <w:position w:val="0"/>
        <w:sz w:val="20"/>
        <w:sz w:val="20"/>
        <w:i w:val="false"/>
      </w:rPr>
    </w:lvl>
    <w:lvl w:ilvl="1">
      <w:start w:val="1"/>
      <w:numFmt w:val="lowerLetter"/>
      <w:lvlText w:val="%2."/>
      <w:lvlJc w:val="left"/>
      <w:pPr>
        <w:tabs>
          <w:tab w:val="num" w:pos="0"/>
        </w:tabs>
        <w:ind w:left="1080" w:hanging="360"/>
      </w:pPr>
      <w:rPr>
        <w:vertAlign w:val="baseline"/>
        <w:position w:val="0"/>
        <w:sz w:val="20"/>
        <w:sz w:val="20"/>
      </w:rPr>
    </w:lvl>
    <w:lvl w:ilvl="2">
      <w:start w:val="1"/>
      <w:numFmt w:val="lowerRoman"/>
      <w:lvlText w:val="%3."/>
      <w:lvlJc w:val="right"/>
      <w:pPr>
        <w:tabs>
          <w:tab w:val="num" w:pos="0"/>
        </w:tabs>
        <w:ind w:left="1800" w:hanging="180"/>
      </w:pPr>
      <w:rPr>
        <w:vertAlign w:val="baseline"/>
        <w:position w:val="0"/>
        <w:sz w:val="20"/>
        <w:sz w:val="20"/>
      </w:rPr>
    </w:lvl>
    <w:lvl w:ilvl="3">
      <w:start w:val="1"/>
      <w:numFmt w:val="decimal"/>
      <w:lvlText w:val="%4."/>
      <w:lvlJc w:val="left"/>
      <w:pPr>
        <w:tabs>
          <w:tab w:val="num" w:pos="0"/>
        </w:tabs>
        <w:ind w:left="2520" w:hanging="360"/>
      </w:pPr>
      <w:rPr>
        <w:vertAlign w:val="baseline"/>
        <w:position w:val="0"/>
        <w:sz w:val="20"/>
        <w:sz w:val="20"/>
      </w:rPr>
    </w:lvl>
    <w:lvl w:ilvl="4">
      <w:start w:val="1"/>
      <w:numFmt w:val="lowerLetter"/>
      <w:lvlText w:val="%5."/>
      <w:lvlJc w:val="left"/>
      <w:pPr>
        <w:tabs>
          <w:tab w:val="num" w:pos="0"/>
        </w:tabs>
        <w:ind w:left="3240" w:hanging="360"/>
      </w:pPr>
      <w:rPr>
        <w:vertAlign w:val="baseline"/>
        <w:position w:val="0"/>
        <w:sz w:val="20"/>
        <w:sz w:val="20"/>
      </w:rPr>
    </w:lvl>
    <w:lvl w:ilvl="5">
      <w:start w:val="1"/>
      <w:numFmt w:val="lowerRoman"/>
      <w:lvlText w:val="%6."/>
      <w:lvlJc w:val="right"/>
      <w:pPr>
        <w:tabs>
          <w:tab w:val="num" w:pos="0"/>
        </w:tabs>
        <w:ind w:left="3960" w:hanging="180"/>
      </w:pPr>
      <w:rPr>
        <w:vertAlign w:val="baseline"/>
        <w:position w:val="0"/>
        <w:sz w:val="20"/>
        <w:sz w:val="20"/>
      </w:rPr>
    </w:lvl>
    <w:lvl w:ilvl="6">
      <w:start w:val="1"/>
      <w:numFmt w:val="decimal"/>
      <w:lvlText w:val="%7."/>
      <w:lvlJc w:val="left"/>
      <w:pPr>
        <w:tabs>
          <w:tab w:val="num" w:pos="0"/>
        </w:tabs>
        <w:ind w:left="4680" w:hanging="360"/>
      </w:pPr>
      <w:rPr>
        <w:vertAlign w:val="baseline"/>
        <w:position w:val="0"/>
        <w:sz w:val="20"/>
        <w:sz w:val="20"/>
      </w:rPr>
    </w:lvl>
    <w:lvl w:ilvl="7">
      <w:start w:val="1"/>
      <w:numFmt w:val="lowerLetter"/>
      <w:lvlText w:val="%8."/>
      <w:lvlJc w:val="left"/>
      <w:pPr>
        <w:tabs>
          <w:tab w:val="num" w:pos="0"/>
        </w:tabs>
        <w:ind w:left="5400" w:hanging="360"/>
      </w:pPr>
      <w:rPr>
        <w:vertAlign w:val="baseline"/>
        <w:position w:val="0"/>
        <w:sz w:val="20"/>
        <w:sz w:val="20"/>
      </w:rPr>
    </w:lvl>
    <w:lvl w:ilvl="8">
      <w:start w:val="1"/>
      <w:numFmt w:val="lowerRoman"/>
      <w:lvlText w:val="%9."/>
      <w:lvlJc w:val="right"/>
      <w:pPr>
        <w:tabs>
          <w:tab w:val="num" w:pos="0"/>
        </w:tabs>
        <w:ind w:left="6120" w:hanging="180"/>
      </w:pPr>
      <w:rPr>
        <w:vertAlign w:val="baseline"/>
        <w:position w:val="0"/>
        <w:sz w:val="20"/>
        <w:sz w:val="20"/>
      </w:rPr>
    </w:lvl>
  </w:abstractNum>
  <w:abstractNum w:abstractNumId="10">
    <w:lvl w:ilvl="0">
      <w:start w:val="1"/>
      <w:numFmt w:val="decimal"/>
      <w:lvlText w:val="(%1)"/>
      <w:lvlJc w:val="left"/>
      <w:pPr>
        <w:tabs>
          <w:tab w:val="num" w:pos="0"/>
        </w:tabs>
        <w:ind w:left="360" w:hanging="360"/>
      </w:pPr>
      <w:rPr>
        <w:vertAlign w:val="baseline"/>
        <w:position w:val="0"/>
        <w:sz w:val="20"/>
        <w:sz w:val="20"/>
        <w:i w:val="false"/>
        <w:color w:val="000000"/>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360" w:hanging="360"/>
      </w:pPr>
      <w:rPr>
        <w:vertAlign w:val="baseline"/>
        <w:position w:val="0"/>
        <w:sz w:val="20"/>
        <w:sz w:val="20"/>
      </w:rPr>
    </w:lvl>
    <w:lvl w:ilvl="1">
      <w:start w:val="1"/>
      <w:numFmt w:val="lowerLetter"/>
      <w:lvlText w:val="%2."/>
      <w:lvlJc w:val="left"/>
      <w:pPr>
        <w:tabs>
          <w:tab w:val="num" w:pos="0"/>
        </w:tabs>
        <w:ind w:left="1080" w:hanging="360"/>
      </w:pPr>
      <w:rPr>
        <w:vertAlign w:val="baseline"/>
        <w:position w:val="0"/>
        <w:sz w:val="20"/>
        <w:sz w:val="20"/>
      </w:rPr>
    </w:lvl>
    <w:lvl w:ilvl="2">
      <w:start w:val="1"/>
      <w:numFmt w:val="lowerRoman"/>
      <w:lvlText w:val="%3."/>
      <w:lvlJc w:val="right"/>
      <w:pPr>
        <w:tabs>
          <w:tab w:val="num" w:pos="0"/>
        </w:tabs>
        <w:ind w:left="1800" w:hanging="180"/>
      </w:pPr>
      <w:rPr>
        <w:vertAlign w:val="baseline"/>
        <w:position w:val="0"/>
        <w:sz w:val="20"/>
        <w:sz w:val="20"/>
      </w:rPr>
    </w:lvl>
    <w:lvl w:ilvl="3">
      <w:start w:val="1"/>
      <w:numFmt w:val="decimal"/>
      <w:lvlText w:val="%4."/>
      <w:lvlJc w:val="left"/>
      <w:pPr>
        <w:tabs>
          <w:tab w:val="num" w:pos="0"/>
        </w:tabs>
        <w:ind w:left="2520" w:hanging="360"/>
      </w:pPr>
      <w:rPr>
        <w:vertAlign w:val="baseline"/>
        <w:position w:val="0"/>
        <w:sz w:val="20"/>
        <w:sz w:val="20"/>
      </w:rPr>
    </w:lvl>
    <w:lvl w:ilvl="4">
      <w:start w:val="1"/>
      <w:numFmt w:val="lowerLetter"/>
      <w:lvlText w:val="%5."/>
      <w:lvlJc w:val="left"/>
      <w:pPr>
        <w:tabs>
          <w:tab w:val="num" w:pos="0"/>
        </w:tabs>
        <w:ind w:left="3240" w:hanging="360"/>
      </w:pPr>
      <w:rPr>
        <w:vertAlign w:val="baseline"/>
        <w:position w:val="0"/>
        <w:sz w:val="20"/>
        <w:sz w:val="20"/>
      </w:rPr>
    </w:lvl>
    <w:lvl w:ilvl="5">
      <w:start w:val="1"/>
      <w:numFmt w:val="lowerRoman"/>
      <w:lvlText w:val="%6."/>
      <w:lvlJc w:val="right"/>
      <w:pPr>
        <w:tabs>
          <w:tab w:val="num" w:pos="0"/>
        </w:tabs>
        <w:ind w:left="3960" w:hanging="180"/>
      </w:pPr>
      <w:rPr>
        <w:vertAlign w:val="baseline"/>
        <w:position w:val="0"/>
        <w:sz w:val="20"/>
        <w:sz w:val="20"/>
      </w:rPr>
    </w:lvl>
    <w:lvl w:ilvl="6">
      <w:start w:val="1"/>
      <w:numFmt w:val="decimal"/>
      <w:lvlText w:val="%7."/>
      <w:lvlJc w:val="left"/>
      <w:pPr>
        <w:tabs>
          <w:tab w:val="num" w:pos="0"/>
        </w:tabs>
        <w:ind w:left="4680" w:hanging="360"/>
      </w:pPr>
      <w:rPr>
        <w:vertAlign w:val="baseline"/>
        <w:position w:val="0"/>
        <w:sz w:val="20"/>
        <w:sz w:val="20"/>
      </w:rPr>
    </w:lvl>
    <w:lvl w:ilvl="7">
      <w:start w:val="1"/>
      <w:numFmt w:val="lowerLetter"/>
      <w:lvlText w:val="%8."/>
      <w:lvlJc w:val="left"/>
      <w:pPr>
        <w:tabs>
          <w:tab w:val="num" w:pos="0"/>
        </w:tabs>
        <w:ind w:left="5400" w:hanging="360"/>
      </w:pPr>
      <w:rPr>
        <w:vertAlign w:val="baseline"/>
        <w:position w:val="0"/>
        <w:sz w:val="20"/>
        <w:sz w:val="20"/>
      </w:rPr>
    </w:lvl>
    <w:lvl w:ilvl="8">
      <w:start w:val="1"/>
      <w:numFmt w:val="lowerRoman"/>
      <w:lvlText w:val="%9."/>
      <w:lvlJc w:val="right"/>
      <w:pPr>
        <w:tabs>
          <w:tab w:val="num" w:pos="0"/>
        </w:tabs>
        <w:ind w:left="6120" w:hanging="180"/>
      </w:pPr>
      <w:rPr>
        <w:vertAlign w:val="baseline"/>
        <w:position w:val="0"/>
        <w:sz w:val="20"/>
        <w:sz w:val="20"/>
      </w:rPr>
    </w:lvl>
  </w:abstractNum>
  <w:abstractNum w:abstractNumId="13">
    <w:lvl w:ilvl="0">
      <w:start w:val="1"/>
      <w:numFmt w:val="decimal"/>
      <w:lvlText w:val="(%1)"/>
      <w:lvlJc w:val="left"/>
      <w:pPr>
        <w:tabs>
          <w:tab w:val="num" w:pos="0"/>
        </w:tabs>
        <w:ind w:left="360" w:hanging="360"/>
      </w:pPr>
      <w:rPr>
        <w:vertAlign w:val="baseline"/>
        <w:position w:val="0"/>
        <w:sz w:val="20"/>
        <w:sz w:val="20"/>
      </w:rPr>
    </w:lvl>
    <w:lvl w:ilvl="1">
      <w:start w:val="1"/>
      <w:numFmt w:val="lowerLetter"/>
      <w:lvlText w:val="%2."/>
      <w:lvlJc w:val="left"/>
      <w:pPr>
        <w:tabs>
          <w:tab w:val="num" w:pos="0"/>
        </w:tabs>
        <w:ind w:left="1080" w:hanging="360"/>
      </w:pPr>
      <w:rPr>
        <w:vertAlign w:val="baseline"/>
        <w:position w:val="0"/>
        <w:sz w:val="20"/>
        <w:sz w:val="20"/>
      </w:rPr>
    </w:lvl>
    <w:lvl w:ilvl="2">
      <w:start w:val="1"/>
      <w:numFmt w:val="lowerRoman"/>
      <w:lvlText w:val="%3."/>
      <w:lvlJc w:val="right"/>
      <w:pPr>
        <w:tabs>
          <w:tab w:val="num" w:pos="0"/>
        </w:tabs>
        <w:ind w:left="1800" w:hanging="180"/>
      </w:pPr>
      <w:rPr>
        <w:vertAlign w:val="baseline"/>
        <w:position w:val="0"/>
        <w:sz w:val="20"/>
        <w:sz w:val="20"/>
      </w:rPr>
    </w:lvl>
    <w:lvl w:ilvl="3">
      <w:start w:val="1"/>
      <w:numFmt w:val="decimal"/>
      <w:lvlText w:val="%4."/>
      <w:lvlJc w:val="left"/>
      <w:pPr>
        <w:tabs>
          <w:tab w:val="num" w:pos="0"/>
        </w:tabs>
        <w:ind w:left="2520" w:hanging="360"/>
      </w:pPr>
      <w:rPr>
        <w:vertAlign w:val="baseline"/>
        <w:position w:val="0"/>
        <w:sz w:val="20"/>
        <w:sz w:val="20"/>
      </w:rPr>
    </w:lvl>
    <w:lvl w:ilvl="4">
      <w:start w:val="1"/>
      <w:numFmt w:val="lowerLetter"/>
      <w:lvlText w:val="%5."/>
      <w:lvlJc w:val="left"/>
      <w:pPr>
        <w:tabs>
          <w:tab w:val="num" w:pos="0"/>
        </w:tabs>
        <w:ind w:left="3240" w:hanging="360"/>
      </w:pPr>
      <w:rPr>
        <w:vertAlign w:val="baseline"/>
        <w:position w:val="0"/>
        <w:sz w:val="20"/>
        <w:sz w:val="20"/>
      </w:rPr>
    </w:lvl>
    <w:lvl w:ilvl="5">
      <w:start w:val="1"/>
      <w:numFmt w:val="lowerRoman"/>
      <w:lvlText w:val="%6."/>
      <w:lvlJc w:val="right"/>
      <w:pPr>
        <w:tabs>
          <w:tab w:val="num" w:pos="0"/>
        </w:tabs>
        <w:ind w:left="3960" w:hanging="180"/>
      </w:pPr>
      <w:rPr>
        <w:vertAlign w:val="baseline"/>
        <w:position w:val="0"/>
        <w:sz w:val="20"/>
        <w:sz w:val="20"/>
      </w:rPr>
    </w:lvl>
    <w:lvl w:ilvl="6">
      <w:start w:val="1"/>
      <w:numFmt w:val="decimal"/>
      <w:lvlText w:val="%7."/>
      <w:lvlJc w:val="left"/>
      <w:pPr>
        <w:tabs>
          <w:tab w:val="num" w:pos="0"/>
        </w:tabs>
        <w:ind w:left="4680" w:hanging="360"/>
      </w:pPr>
      <w:rPr>
        <w:vertAlign w:val="baseline"/>
        <w:position w:val="0"/>
        <w:sz w:val="20"/>
        <w:sz w:val="20"/>
      </w:rPr>
    </w:lvl>
    <w:lvl w:ilvl="7">
      <w:start w:val="1"/>
      <w:numFmt w:val="lowerLetter"/>
      <w:lvlText w:val="%8."/>
      <w:lvlJc w:val="left"/>
      <w:pPr>
        <w:tabs>
          <w:tab w:val="num" w:pos="0"/>
        </w:tabs>
        <w:ind w:left="5400" w:hanging="360"/>
      </w:pPr>
      <w:rPr>
        <w:vertAlign w:val="baseline"/>
        <w:position w:val="0"/>
        <w:sz w:val="20"/>
        <w:sz w:val="20"/>
      </w:rPr>
    </w:lvl>
    <w:lvl w:ilvl="8">
      <w:start w:val="1"/>
      <w:numFmt w:val="lowerRoman"/>
      <w:lvlText w:val="%9."/>
      <w:lvlJc w:val="right"/>
      <w:pPr>
        <w:tabs>
          <w:tab w:val="num" w:pos="0"/>
        </w:tabs>
        <w:ind w:left="6120" w:hanging="180"/>
      </w:pPr>
      <w:rPr>
        <w:vertAlign w:val="baseline"/>
        <w:position w:val="0"/>
        <w:sz w:val="20"/>
        <w:sz w:val="20"/>
      </w:rPr>
    </w:lvl>
  </w:abstractNum>
  <w:abstractNum w:abstractNumId="14">
    <w:lvl w:ilvl="0">
      <w:start w:val="2"/>
      <w:numFmt w:val="decimal"/>
      <w:lvlText w:val="(%1)"/>
      <w:lvlJc w:val="left"/>
      <w:pPr>
        <w:tabs>
          <w:tab w:val="num" w:pos="0"/>
        </w:tabs>
        <w:ind w:left="360" w:hanging="360"/>
      </w:pPr>
      <w:rPr>
        <w:vertAlign w:val="baseline"/>
        <w:position w:val="0"/>
        <w:sz w:val="20"/>
        <w:sz w:val="20"/>
      </w:rPr>
    </w:lvl>
    <w:lvl w:ilvl="1">
      <w:start w:val="1"/>
      <w:numFmt w:val="lowerLetter"/>
      <w:lvlText w:val="%2."/>
      <w:lvlJc w:val="left"/>
      <w:pPr>
        <w:tabs>
          <w:tab w:val="num" w:pos="0"/>
        </w:tabs>
        <w:ind w:left="1080" w:hanging="360"/>
      </w:pPr>
      <w:rPr>
        <w:vertAlign w:val="baseline"/>
        <w:position w:val="0"/>
        <w:sz w:val="20"/>
        <w:sz w:val="20"/>
      </w:rPr>
    </w:lvl>
    <w:lvl w:ilvl="2">
      <w:start w:val="1"/>
      <w:numFmt w:val="lowerRoman"/>
      <w:lvlText w:val="%3."/>
      <w:lvlJc w:val="right"/>
      <w:pPr>
        <w:tabs>
          <w:tab w:val="num" w:pos="0"/>
        </w:tabs>
        <w:ind w:left="1800" w:hanging="180"/>
      </w:pPr>
      <w:rPr>
        <w:vertAlign w:val="baseline"/>
        <w:position w:val="0"/>
        <w:sz w:val="20"/>
        <w:sz w:val="20"/>
      </w:rPr>
    </w:lvl>
    <w:lvl w:ilvl="3">
      <w:start w:val="1"/>
      <w:numFmt w:val="decimal"/>
      <w:lvlText w:val="%4."/>
      <w:lvlJc w:val="left"/>
      <w:pPr>
        <w:tabs>
          <w:tab w:val="num" w:pos="0"/>
        </w:tabs>
        <w:ind w:left="2520" w:hanging="360"/>
      </w:pPr>
      <w:rPr>
        <w:vertAlign w:val="baseline"/>
        <w:position w:val="0"/>
        <w:sz w:val="20"/>
        <w:sz w:val="20"/>
      </w:rPr>
    </w:lvl>
    <w:lvl w:ilvl="4">
      <w:start w:val="1"/>
      <w:numFmt w:val="lowerLetter"/>
      <w:lvlText w:val="%5."/>
      <w:lvlJc w:val="left"/>
      <w:pPr>
        <w:tabs>
          <w:tab w:val="num" w:pos="0"/>
        </w:tabs>
        <w:ind w:left="3240" w:hanging="360"/>
      </w:pPr>
      <w:rPr>
        <w:vertAlign w:val="baseline"/>
        <w:position w:val="0"/>
        <w:sz w:val="20"/>
        <w:sz w:val="20"/>
      </w:rPr>
    </w:lvl>
    <w:lvl w:ilvl="5">
      <w:start w:val="1"/>
      <w:numFmt w:val="lowerRoman"/>
      <w:lvlText w:val="%6."/>
      <w:lvlJc w:val="right"/>
      <w:pPr>
        <w:tabs>
          <w:tab w:val="num" w:pos="0"/>
        </w:tabs>
        <w:ind w:left="3960" w:hanging="180"/>
      </w:pPr>
      <w:rPr>
        <w:vertAlign w:val="baseline"/>
        <w:position w:val="0"/>
        <w:sz w:val="20"/>
        <w:sz w:val="20"/>
      </w:rPr>
    </w:lvl>
    <w:lvl w:ilvl="6">
      <w:start w:val="1"/>
      <w:numFmt w:val="decimal"/>
      <w:lvlText w:val="%7."/>
      <w:lvlJc w:val="left"/>
      <w:pPr>
        <w:tabs>
          <w:tab w:val="num" w:pos="0"/>
        </w:tabs>
        <w:ind w:left="4680" w:hanging="360"/>
      </w:pPr>
      <w:rPr>
        <w:vertAlign w:val="baseline"/>
        <w:position w:val="0"/>
        <w:sz w:val="20"/>
        <w:sz w:val="20"/>
      </w:rPr>
    </w:lvl>
    <w:lvl w:ilvl="7">
      <w:start w:val="1"/>
      <w:numFmt w:val="lowerLetter"/>
      <w:lvlText w:val="%8."/>
      <w:lvlJc w:val="left"/>
      <w:pPr>
        <w:tabs>
          <w:tab w:val="num" w:pos="0"/>
        </w:tabs>
        <w:ind w:left="5400" w:hanging="360"/>
      </w:pPr>
      <w:rPr>
        <w:vertAlign w:val="baseline"/>
        <w:position w:val="0"/>
        <w:sz w:val="20"/>
        <w:sz w:val="20"/>
      </w:rPr>
    </w:lvl>
    <w:lvl w:ilvl="8">
      <w:start w:val="1"/>
      <w:numFmt w:val="lowerRoman"/>
      <w:lvlText w:val="%9."/>
      <w:lvlJc w:val="right"/>
      <w:pPr>
        <w:tabs>
          <w:tab w:val="num" w:pos="0"/>
        </w:tabs>
        <w:ind w:left="6120" w:hanging="180"/>
      </w:pPr>
      <w:rPr>
        <w:vertAlign w:val="baseline"/>
        <w:position w:val="0"/>
        <w:sz w:val="20"/>
        <w:sz w:val="20"/>
      </w:rPr>
    </w:lvl>
  </w:abstractNum>
  <w:abstractNum w:abstractNumId="15">
    <w:lvl w:ilvl="0">
      <w:start w:val="2"/>
      <w:numFmt w:val="decimal"/>
      <w:lvlText w:val="(%1)"/>
      <w:lvlJc w:val="left"/>
      <w:pPr>
        <w:tabs>
          <w:tab w:val="num" w:pos="0"/>
        </w:tabs>
        <w:ind w:left="360" w:hanging="360"/>
      </w:pPr>
      <w:rPr>
        <w:vertAlign w:val="baseline"/>
        <w:position w:val="0"/>
        <w:sz w:val="20"/>
        <w:sz w:val="20"/>
        <w:i w:val="false"/>
        <w:color w:val="000000"/>
      </w:rPr>
    </w:lvl>
    <w:lvl w:ilvl="1">
      <w:start w:val="1"/>
      <w:numFmt w:val="lowerLetter"/>
      <w:lvlText w:val="%2)"/>
      <w:lvlJc w:val="left"/>
      <w:pPr>
        <w:tabs>
          <w:tab w:val="num" w:pos="0"/>
        </w:tabs>
        <w:ind w:left="720" w:hanging="360"/>
      </w:pPr>
      <w:rPr>
        <w:vertAlign w:val="baseline"/>
        <w:position w:val="0"/>
        <w:sz w:val="20"/>
        <w:sz w:val="20"/>
      </w:rPr>
    </w:lvl>
    <w:lvl w:ilvl="2">
      <w:start w:val="1"/>
      <w:numFmt w:val="lowerRoman"/>
      <w:lvlText w:val="%3)"/>
      <w:lvlJc w:val="left"/>
      <w:pPr>
        <w:tabs>
          <w:tab w:val="num" w:pos="0"/>
        </w:tabs>
        <w:ind w:left="1080" w:hanging="360"/>
      </w:pPr>
      <w:rPr>
        <w:vertAlign w:val="baseline"/>
        <w:position w:val="0"/>
        <w:sz w:val="20"/>
        <w:sz w:val="20"/>
      </w:rPr>
    </w:lvl>
    <w:lvl w:ilvl="3">
      <w:start w:val="1"/>
      <w:numFmt w:val="decimal"/>
      <w:lvlText w:val="(%4)"/>
      <w:lvlJc w:val="left"/>
      <w:pPr>
        <w:tabs>
          <w:tab w:val="num" w:pos="0"/>
        </w:tabs>
        <w:ind w:left="1440" w:hanging="360"/>
      </w:pPr>
      <w:rPr>
        <w:vertAlign w:val="baseline"/>
        <w:position w:val="0"/>
        <w:sz w:val="20"/>
        <w:sz w:val="20"/>
      </w:rPr>
    </w:lvl>
    <w:lvl w:ilvl="4">
      <w:start w:val="1"/>
      <w:numFmt w:val="lowerLetter"/>
      <w:lvlText w:val="(%5)"/>
      <w:lvlJc w:val="left"/>
      <w:pPr>
        <w:tabs>
          <w:tab w:val="num" w:pos="0"/>
        </w:tabs>
        <w:ind w:left="1800" w:hanging="360"/>
      </w:pPr>
      <w:rPr>
        <w:vertAlign w:val="baseline"/>
        <w:position w:val="0"/>
        <w:sz w:val="20"/>
        <w:sz w:val="20"/>
      </w:rPr>
    </w:lvl>
    <w:lvl w:ilvl="5">
      <w:start w:val="1"/>
      <w:numFmt w:val="lowerRoman"/>
      <w:lvlText w:val="(%6)"/>
      <w:lvlJc w:val="left"/>
      <w:pPr>
        <w:tabs>
          <w:tab w:val="num" w:pos="0"/>
        </w:tabs>
        <w:ind w:left="2160" w:hanging="360"/>
      </w:pPr>
      <w:rPr>
        <w:vertAlign w:val="baseline"/>
        <w:position w:val="0"/>
        <w:sz w:val="20"/>
        <w:sz w:val="20"/>
      </w:rPr>
    </w:lvl>
    <w:lvl w:ilvl="6">
      <w:start w:val="1"/>
      <w:numFmt w:val="decimal"/>
      <w:lvlText w:val="%7."/>
      <w:lvlJc w:val="left"/>
      <w:pPr>
        <w:tabs>
          <w:tab w:val="num" w:pos="0"/>
        </w:tabs>
        <w:ind w:left="2520" w:hanging="360"/>
      </w:pPr>
      <w:rPr>
        <w:vertAlign w:val="baseline"/>
        <w:position w:val="0"/>
        <w:sz w:val="20"/>
        <w:sz w:val="20"/>
      </w:rPr>
    </w:lvl>
    <w:lvl w:ilvl="7">
      <w:start w:val="1"/>
      <w:numFmt w:val="lowerLetter"/>
      <w:lvlText w:val="%8."/>
      <w:lvlJc w:val="left"/>
      <w:pPr>
        <w:tabs>
          <w:tab w:val="num" w:pos="0"/>
        </w:tabs>
        <w:ind w:left="2880" w:hanging="360"/>
      </w:pPr>
      <w:rPr>
        <w:vertAlign w:val="baseline"/>
        <w:position w:val="0"/>
        <w:sz w:val="20"/>
        <w:sz w:val="20"/>
      </w:rPr>
    </w:lvl>
    <w:lvl w:ilvl="8">
      <w:start w:val="1"/>
      <w:numFmt w:val="lowerRoman"/>
      <w:lvlText w:val="%9."/>
      <w:lvlJc w:val="left"/>
      <w:pPr>
        <w:tabs>
          <w:tab w:val="num" w:pos="0"/>
        </w:tabs>
        <w:ind w:left="3240" w:hanging="360"/>
      </w:pPr>
      <w:rPr>
        <w:vertAlign w:val="baseline"/>
        <w:position w:val="0"/>
        <w:sz w:val="20"/>
        <w:sz w:val="20"/>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4"/>
      <w:szCs w:val="24"/>
      <w:vertAlign w:val="subscript"/>
      <w:lang w:val="cs-CZ" w:eastAsia="cs-CZ" w:bidi="ar-SA"/>
    </w:rPr>
  </w:style>
  <w:style w:type="paragraph" w:styleId="Nadpis1">
    <w:name w:val="Heading 1"/>
    <w:basedOn w:val="Normal"/>
    <w:next w:val="Normal"/>
    <w:uiPriority w:val="9"/>
    <w:qFormat/>
    <w:pPr>
      <w:keepNext w:val="true"/>
      <w:keepLines/>
      <w:spacing w:before="480" w:after="120"/>
    </w:pPr>
    <w:rPr>
      <w:b/>
      <w:sz w:val="48"/>
      <w:szCs w:val="48"/>
    </w:rPr>
  </w:style>
  <w:style w:type="paragraph" w:styleId="Nadpis2">
    <w:name w:val="Heading 2"/>
    <w:basedOn w:val="Normal"/>
    <w:next w:val="Normal"/>
    <w:uiPriority w:val="9"/>
    <w:semiHidden/>
    <w:unhideWhenUsed/>
    <w:qFormat/>
    <w:pPr>
      <w:keepNext w:val="true"/>
      <w:jc w:val="both"/>
      <w:outlineLvl w:val="1"/>
    </w:pPr>
    <w:rPr>
      <w:szCs w:val="20"/>
      <w:u w:val="single"/>
    </w:rPr>
  </w:style>
  <w:style w:type="paragraph" w:styleId="Nadpis3">
    <w:name w:val="Heading 3"/>
    <w:basedOn w:val="Normal"/>
    <w:next w:val="Normal"/>
    <w:uiPriority w:val="9"/>
    <w:semiHidden/>
    <w:unhideWhenUsed/>
    <w:qFormat/>
    <w:pPr>
      <w:keepNext w:val="true"/>
      <w:keepLines/>
      <w:spacing w:before="280" w:after="80"/>
      <w:outlineLvl w:val="2"/>
    </w:pPr>
    <w:rPr>
      <w:b/>
      <w:sz w:val="28"/>
      <w:szCs w:val="28"/>
    </w:rPr>
  </w:style>
  <w:style w:type="paragraph" w:styleId="Nadpis4">
    <w:name w:val="Heading 4"/>
    <w:basedOn w:val="Normal"/>
    <w:next w:val="Normal"/>
    <w:uiPriority w:val="9"/>
    <w:semiHidden/>
    <w:unhideWhenUsed/>
    <w:qFormat/>
    <w:pPr>
      <w:keepNext w:val="true"/>
      <w:keepLines/>
      <w:spacing w:before="240" w:after="40"/>
      <w:outlineLvl w:val="3"/>
    </w:pPr>
    <w:rPr>
      <w:b/>
    </w:rPr>
  </w:style>
  <w:style w:type="paragraph" w:styleId="Nadpis5">
    <w:name w:val="Heading 5"/>
    <w:basedOn w:val="Normal"/>
    <w:next w:val="Normal"/>
    <w:uiPriority w:val="9"/>
    <w:semiHidden/>
    <w:unhideWhenUsed/>
    <w:qFormat/>
    <w:pPr>
      <w:keepNext w:val="true"/>
      <w:keepLines/>
      <w:spacing w:before="220" w:after="40"/>
      <w:outlineLvl w:val="4"/>
    </w:pPr>
    <w:rPr>
      <w:b/>
      <w:sz w:val="22"/>
      <w:szCs w:val="22"/>
    </w:rPr>
  </w:style>
  <w:style w:type="paragraph" w:styleId="Nadpis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Znakypropoznmkupodarou">
    <w:name w:val="Znaky pro poznámku pod čarou"/>
    <w:qFormat/>
    <w:rPr>
      <w:w w:val="100"/>
      <w:effect w:val="none"/>
      <w:vertAlign w:val="superscript"/>
      <w:em w:val="none"/>
    </w:rPr>
  </w:style>
  <w:style w:type="character" w:styleId="Ukotvenpoznmkypodarou">
    <w:name w:val="Footnote Reference"/>
    <w:rPr>
      <w:w w:val="100"/>
      <w:effect w:val="none"/>
      <w:vertAlign w:val="superscript"/>
      <w:em w:val="none"/>
    </w:rPr>
  </w:style>
  <w:style w:type="character" w:styleId="Annotationreference">
    <w:name w:val="annotation reference"/>
    <w:qFormat/>
    <w:rPr>
      <w:w w:val="100"/>
      <w:position w:val="0"/>
      <w:sz w:val="16"/>
      <w:sz w:val="16"/>
      <w:szCs w:val="16"/>
      <w:effect w:val="none"/>
      <w:vertAlign w:val="baseline"/>
      <w:em w:val="none"/>
    </w:rPr>
  </w:style>
  <w:style w:type="character" w:styleId="TextkomenteChar" w:customStyle="1">
    <w:name w:val="Text komentáře Char"/>
    <w:basedOn w:val="DefaultParagraphFont"/>
    <w:qFormat/>
    <w:rPr>
      <w:w w:val="100"/>
      <w:position w:val="0"/>
      <w:sz w:val="20"/>
      <w:sz w:val="20"/>
      <w:effect w:val="none"/>
      <w:vertAlign w:val="baseline"/>
      <w:em w:val="none"/>
    </w:rPr>
  </w:style>
  <w:style w:type="character" w:styleId="PedmtkomenteChar" w:customStyle="1">
    <w:name w:val="Předmět komentáře Char"/>
    <w:qFormat/>
    <w:rPr>
      <w:b/>
      <w:bCs/>
      <w:w w:val="100"/>
      <w:position w:val="0"/>
      <w:sz w:val="20"/>
      <w:sz w:val="20"/>
      <w:effect w:val="none"/>
      <w:vertAlign w:val="baseline"/>
      <w:em w:val="none"/>
    </w:rPr>
  </w:style>
  <w:style w:type="character" w:styleId="ZpatChar" w:customStyle="1">
    <w:name w:val="Zápatí Char"/>
    <w:qFormat/>
    <w:rPr>
      <w:w w:val="100"/>
      <w:position w:val="0"/>
      <w:sz w:val="24"/>
      <w:sz w:val="24"/>
      <w:szCs w:val="24"/>
      <w:effect w:val="none"/>
      <w:vertAlign w:val="baseline"/>
      <w:em w:val="none"/>
    </w:rPr>
  </w:style>
  <w:style w:type="character" w:styleId="Internetovodkaz">
    <w:name w:val="Hyperlink"/>
    <w:qFormat/>
    <w:rPr>
      <w:color w:val="0563C1"/>
      <w:w w:val="100"/>
      <w:position w:val="0"/>
      <w:sz w:val="20"/>
      <w:sz w:val="20"/>
      <w:u w:val="single"/>
      <w:effect w:val="none"/>
      <w:vertAlign w:val="baseline"/>
      <w:em w:val="none"/>
    </w:rPr>
  </w:style>
  <w:style w:type="character" w:styleId="UnresolvedMention">
    <w:name w:val="Unresolved Mention"/>
    <w:qFormat/>
    <w:rPr>
      <w:color w:val="605E5C"/>
      <w:w w:val="100"/>
      <w:position w:val="0"/>
      <w:sz w:val="20"/>
      <w:sz w:val="20"/>
      <w:effect w:val="none"/>
      <w:shd w:fill="E1DFDD" w:val="clear"/>
      <w:vertAlign w:val="baseline"/>
      <w:em w:val="none"/>
    </w:rPr>
  </w:style>
  <w:style w:type="character" w:styleId="Znakyprovysvtlivky">
    <w:name w:val="Znaky pro vysvětlivky"/>
    <w:qFormat/>
    <w:rPr/>
  </w:style>
  <w:style w:type="character" w:styleId="Ukotvenvysvtlivky">
    <w:name w:val="Endnote Reference"/>
    <w:rPr>
      <w:vertAlign w:val="superscrip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zev">
    <w:name w:val="Title"/>
    <w:basedOn w:val="Normal"/>
    <w:next w:val="Normal"/>
    <w:uiPriority w:val="10"/>
    <w:qFormat/>
    <w:pPr>
      <w:keepNext w:val="true"/>
      <w:keepLines/>
      <w:spacing w:before="480" w:after="120"/>
    </w:pPr>
    <w:rPr>
      <w:b/>
      <w:sz w:val="72"/>
      <w:szCs w:val="72"/>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20"/>
        <w:tab w:val="center" w:pos="4536" w:leader="none"/>
        <w:tab w:val="right" w:pos="9072" w:leader="none"/>
      </w:tabs>
    </w:pPr>
    <w:rPr>
      <w:szCs w:val="20"/>
    </w:rPr>
  </w:style>
  <w:style w:type="paragraph" w:styleId="Poznmkapodarou">
    <w:name w:val="Footnote Text"/>
    <w:basedOn w:val="Normal"/>
    <w:pPr/>
    <w:rPr>
      <w:sz w:val="20"/>
      <w:szCs w:val="20"/>
    </w:rPr>
  </w:style>
  <w:style w:type="paragraph" w:styleId="NormlnIMP" w:customStyle="1">
    <w:name w:val="Normální_IMP"/>
    <w:basedOn w:val="Normal"/>
    <w:qFormat/>
    <w:pPr>
      <w:suppressAutoHyphens w:val="false"/>
      <w:overflowPunct w:val="false"/>
      <w:spacing w:lineRule="auto" w:line="228"/>
      <w:jc w:val="both"/>
      <w:textAlignment w:val="baseline"/>
    </w:pPr>
    <w:rPr>
      <w:szCs w:val="20"/>
    </w:rPr>
  </w:style>
  <w:style w:type="paragraph" w:styleId="Annotationtext">
    <w:name w:val="annotation text"/>
    <w:basedOn w:val="Normal"/>
    <w:qFormat/>
    <w:pPr/>
    <w:rPr>
      <w:sz w:val="20"/>
      <w:szCs w:val="20"/>
    </w:rPr>
  </w:style>
  <w:style w:type="paragraph" w:styleId="BodyTextIndent3">
    <w:name w:val="Body Text Indent 3"/>
    <w:basedOn w:val="Normal"/>
    <w:qFormat/>
    <w:pPr>
      <w:widowControl w:val="false"/>
      <w:tabs>
        <w:tab w:val="clear" w:pos="720"/>
        <w:tab w:val="left" w:pos="540" w:leader="none"/>
      </w:tabs>
      <w:ind w:left="540" w:hanging="540"/>
      <w:jc w:val="both"/>
    </w:pPr>
    <w:rPr>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76" w:before="0" w:after="200"/>
      <w:ind w:left="720" w:hanging="1"/>
      <w:contextualSpacing/>
    </w:pPr>
    <w:rPr>
      <w:rFonts w:ascii="Calibri" w:hAnsi="Calibri" w:eastAsia="Calibri"/>
      <w:sz w:val="22"/>
      <w:szCs w:val="22"/>
      <w:lang w:eastAsia="en-US"/>
    </w:rPr>
  </w:style>
  <w:style w:type="paragraph" w:styleId="Annotationsubject">
    <w:name w:val="annotation subject"/>
    <w:basedOn w:val="Annotationtext"/>
    <w:next w:val="Annotationtext"/>
    <w:qFormat/>
    <w:pPr/>
    <w:rPr>
      <w:b/>
      <w:bCs/>
    </w:rPr>
  </w:style>
  <w:style w:type="paragraph" w:styleId="Zpat">
    <w:name w:val="Footer"/>
    <w:basedOn w:val="Normal"/>
    <w:qFormat/>
    <w:pPr>
      <w:tabs>
        <w:tab w:val="clear" w:pos="720"/>
        <w:tab w:val="center" w:pos="4536" w:leader="none"/>
        <w:tab w:val="right" w:pos="9072" w:leader="none"/>
      </w:tabs>
    </w:pPr>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w:hAnsi="Arial" w:eastAsia="Times New Roman" w:cs="Arial"/>
      <w:color w:val="000000"/>
      <w:kern w:val="0"/>
      <w:sz w:val="24"/>
      <w:szCs w:val="24"/>
      <w:vertAlign w:val="subscript"/>
      <w:lang w:val="cs-CZ" w:eastAsia="cs-CZ" w:bidi="ar-SA"/>
    </w:rPr>
  </w:style>
  <w:style w:type="paragraph" w:styleId="Podtitul">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bectrebotov.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roundtripDataSignature="AMtx7mhwtu6wt4e5UhJ1RiyYgXf4CaOC4w==">AMUW2mX1UKHmBwwwW6WZ/Gc+uTGDN/FPyt825fuYOMTSB9o77NGcTU9+HtN+ad0nsaUA3Gw7vAYcCJ/jecsKX7MA1jUWV8l8zBow6haioqV3sbuMSBjMucfr6ndjxuJE7Oq1mUThRp8c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96B2B5-F7CF-453E-856D-50DFFBEB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LibreOffice/7.5.4.2$Windows_X86_64 LibreOffice_project/36ccfdc35048b057fd9854c757a8b67ec53977b6</Application>
  <AppVersion>15.0000</AppVersion>
  <Pages>3</Pages>
  <Words>1018</Words>
  <Characters>5838</Characters>
  <CharactersWithSpaces>6778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2023-11-03T08:14:00Z</dcterms:created>
  <dc:creator>DA210036</dc:creator>
  <dc:description/>
  <dc:language>cs-CZ</dc:language>
  <cp:lastModifiedBy/>
  <cp:lastPrinted>2023-11-03T08:53:00Z</cp:lastPrinted>
  <dcterms:modified xsi:type="dcterms:W3CDTF">2023-12-04T16:06:54Z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