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AF2" w:rsidRDefault="00D40EAF">
      <w:pPr>
        <w:pStyle w:val="Zkladntext31"/>
        <w:spacing w:before="120"/>
        <w:jc w:val="center"/>
        <w:rPr>
          <w:rFonts w:ascii="Arial" w:hAnsi="Arial" w:cs="Arial"/>
          <w:b/>
          <w:color w:val="000000"/>
          <w:sz w:val="28"/>
          <w:szCs w:val="28"/>
          <w:lang w:eastAsia="cs-CZ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2630170</wp:posOffset>
                </wp:positionH>
                <wp:positionV relativeFrom="paragraph">
                  <wp:posOffset>-173558</wp:posOffset>
                </wp:positionV>
                <wp:extent cx="653796" cy="742950"/>
                <wp:effectExtent l="0" t="0" r="0" b="0"/>
                <wp:wrapNone/>
                <wp:docPr id="2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7">
                          <a:extLst>
                            <a:ext uri="{96DAC541-7B7A-43D3-8B79-37D633B846F1}">
                              <asvg:svgBlip xmlns="" xmlns:o="urn:schemas-microsoft-com:office:office" xmlns:v="urn:schemas-microsoft-com:vml" xmlns:w="http://schemas.openxmlformats.org/wordprocessingml/2006/main" xmlns:w10="urn:schemas-microsoft-com:office:wor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svg="http://schemas.microsoft.com/office/drawing/2016/SVG/main" r:embed="rId12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653796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251659264;o:allowoverlap:true;o:allowincell:true;mso-position-horizontal-relative:text;margin-left:207.10pt;mso-position-horizontal:absolute;mso-position-vertical-relative:text;margin-top:-13.67pt;mso-position-vertical:absolute;width:51.48pt;height:58.50pt;mso-wrap-distance-left:9.05pt;mso-wrap-distance-top:0.00pt;mso-wrap-distance-right:9.05pt;mso-wrap-distance-bottom:0.00pt;z-index:1;" stroked="f">
                <v:imagedata r:id="rId11" o:title=""/>
                <o:lock v:ext="edit" rotation="t"/>
              </v:shape>
            </w:pict>
          </mc:Fallback>
        </mc:AlternateContent>
      </w:r>
    </w:p>
    <w:p w:rsidR="00086AF2" w:rsidRDefault="00086AF2">
      <w:pPr>
        <w:pStyle w:val="Zkladntext31"/>
        <w:spacing w:before="120"/>
        <w:rPr>
          <w:rFonts w:ascii="Arial" w:hAnsi="Arial" w:cs="Arial"/>
          <w:b/>
          <w:color w:val="000000"/>
          <w:sz w:val="28"/>
          <w:szCs w:val="28"/>
          <w:lang w:eastAsia="cs-CZ"/>
        </w:rPr>
      </w:pPr>
    </w:p>
    <w:p w:rsidR="00086AF2" w:rsidRDefault="00D40EAF">
      <w:pPr>
        <w:pStyle w:val="Zkladntext31"/>
        <w:spacing w:before="120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Nařízení města Vrchlabí,   </w:t>
      </w:r>
    </w:p>
    <w:p w:rsidR="00086AF2" w:rsidRDefault="00D40EAF">
      <w:pPr>
        <w:pStyle w:val="Zkladntext31"/>
        <w:spacing w:before="120"/>
        <w:jc w:val="center"/>
        <w:rPr>
          <w:rFonts w:ascii="Arial" w:hAnsi="Arial" w:cs="Arial"/>
          <w:b/>
          <w:color w:val="000000"/>
          <w:szCs w:val="24"/>
        </w:rPr>
      </w:pPr>
      <w:r>
        <w:rPr>
          <w:rFonts w:ascii="Arial" w:hAnsi="Arial" w:cs="Arial"/>
          <w:b/>
          <w:color w:val="000000"/>
          <w:sz w:val="28"/>
          <w:szCs w:val="28"/>
        </w:rPr>
        <w:t>kterým se mění nařízení města Vrchlabí č. 7/2017, o vymezení úseků místních komunikací s placeným stáním ve znění následných změn provedených nařízeními č. 2/2018, č. 7/2019, č. 3/2023, č. 2/2025 a č. 3/2025</w:t>
      </w:r>
    </w:p>
    <w:p w:rsidR="00086AF2" w:rsidRDefault="00086AF2">
      <w:pPr>
        <w:rPr>
          <w:rFonts w:ascii="Arial" w:hAnsi="Arial" w:cs="Arial"/>
          <w:b/>
          <w:color w:val="000000"/>
          <w:sz w:val="24"/>
          <w:szCs w:val="24"/>
        </w:rPr>
      </w:pPr>
    </w:p>
    <w:p w:rsidR="00086AF2" w:rsidRDefault="00D40EAF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Rada města Vrchlabí se na své </w:t>
      </w:r>
      <w:r w:rsidR="009073FE" w:rsidRPr="009073FE">
        <w:rPr>
          <w:rFonts w:ascii="Arial" w:hAnsi="Arial" w:cs="Arial"/>
          <w:color w:val="000000"/>
          <w:sz w:val="22"/>
          <w:szCs w:val="22"/>
        </w:rPr>
        <w:t>48</w:t>
      </w:r>
      <w:r w:rsidRPr="009073FE">
        <w:rPr>
          <w:rFonts w:ascii="Arial" w:hAnsi="Arial" w:cs="Arial"/>
          <w:color w:val="000000"/>
          <w:sz w:val="22"/>
          <w:szCs w:val="22"/>
        </w:rPr>
        <w:t>. schůzi konané dne 1</w:t>
      </w:r>
      <w:r w:rsidR="009073FE" w:rsidRPr="009073FE">
        <w:rPr>
          <w:rFonts w:ascii="Arial" w:hAnsi="Arial" w:cs="Arial"/>
          <w:color w:val="000000"/>
          <w:sz w:val="22"/>
          <w:szCs w:val="22"/>
        </w:rPr>
        <w:t>4. října 2026</w:t>
      </w:r>
      <w:r>
        <w:rPr>
          <w:rFonts w:ascii="Arial" w:hAnsi="Arial" w:cs="Arial"/>
          <w:color w:val="000000"/>
          <w:sz w:val="22"/>
          <w:szCs w:val="22"/>
        </w:rPr>
        <w:t xml:space="preserve"> usnesením č. </w:t>
      </w:r>
      <w:bookmarkStart w:id="0" w:name="_GoBack"/>
      <w:bookmarkEnd w:id="0"/>
      <w:r w:rsidR="009073FE" w:rsidRPr="009073FE">
        <w:rPr>
          <w:rFonts w:ascii="Arial" w:hAnsi="Arial" w:cs="Arial"/>
          <w:color w:val="000000"/>
          <w:sz w:val="22"/>
          <w:szCs w:val="22"/>
        </w:rPr>
        <w:t>1699/48</w:t>
      </w:r>
      <w:r w:rsidRPr="009073FE">
        <w:rPr>
          <w:rFonts w:ascii="Arial" w:hAnsi="Arial" w:cs="Arial"/>
          <w:color w:val="000000"/>
          <w:sz w:val="22"/>
          <w:szCs w:val="22"/>
        </w:rPr>
        <w:t>/RM/202</w:t>
      </w:r>
      <w:r w:rsidR="009073FE" w:rsidRPr="009073FE">
        <w:rPr>
          <w:rFonts w:ascii="Arial" w:hAnsi="Arial" w:cs="Arial"/>
          <w:color w:val="000000"/>
          <w:sz w:val="22"/>
          <w:szCs w:val="22"/>
        </w:rPr>
        <w:t>6</w:t>
      </w:r>
      <w:r>
        <w:rPr>
          <w:rFonts w:ascii="Arial" w:hAnsi="Arial" w:cs="Arial"/>
          <w:color w:val="000000"/>
          <w:sz w:val="22"/>
          <w:szCs w:val="22"/>
        </w:rPr>
        <w:t xml:space="preserve"> usnesla vydat na základě ust. § 11</w:t>
      </w:r>
      <w:r>
        <w:rPr>
          <w:rFonts w:ascii="Arial" w:hAnsi="Arial" w:cs="Arial"/>
          <w:sz w:val="22"/>
          <w:szCs w:val="22"/>
        </w:rPr>
        <w:t xml:space="preserve"> odst. 1  a  § 102 odst. 2  písm. d) zák. č. 128/2000 Sb.,  o obcích (obecní zřízení), ve znění pozdějších</w:t>
      </w:r>
      <w:r>
        <w:rPr>
          <w:rFonts w:ascii="Arial" w:hAnsi="Arial" w:cs="Arial"/>
          <w:color w:val="000000"/>
          <w:sz w:val="22"/>
          <w:szCs w:val="22"/>
        </w:rPr>
        <w:t xml:space="preserve"> předpisů, a  ust. § 23 odst. 1 písm. a) zák.č. 13/1997 Sb., o pozemních komunikacích, ve znění pozdějších předpisů, toto nařízení obce: </w:t>
      </w:r>
    </w:p>
    <w:p w:rsidR="00086AF2" w:rsidRDefault="00086AF2">
      <w:pPr>
        <w:pStyle w:val="NormlnsWWW2"/>
        <w:rPr>
          <w:rFonts w:ascii="Arial" w:hAnsi="Arial" w:cs="Arial"/>
          <w:b/>
          <w:color w:val="000000"/>
          <w:sz w:val="22"/>
          <w:szCs w:val="22"/>
        </w:rPr>
      </w:pPr>
    </w:p>
    <w:p w:rsidR="00086AF2" w:rsidRDefault="00D40EAF">
      <w:pPr>
        <w:pStyle w:val="NormlnsWWW2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Článek  1</w:t>
      </w:r>
    </w:p>
    <w:p w:rsidR="00086AF2" w:rsidRDefault="00D40EAF">
      <w:pPr>
        <w:pStyle w:val="Zkladntext31"/>
        <w:jc w:val="center"/>
        <w:rPr>
          <w:rFonts w:ascii="Arial" w:hAnsi="Arial" w:cs="Arial"/>
        </w:rPr>
      </w:pPr>
      <w:r>
        <w:rPr>
          <w:rFonts w:ascii="Arial" w:hAnsi="Arial" w:cs="Arial"/>
          <w:b/>
          <w:color w:val="000000"/>
          <w:sz w:val="22"/>
          <w:szCs w:val="22"/>
        </w:rPr>
        <w:t>Předmět nařízení</w:t>
      </w:r>
    </w:p>
    <w:p w:rsidR="00086AF2" w:rsidRDefault="00086AF2">
      <w:pPr>
        <w:pStyle w:val="Zkladntext31"/>
        <w:jc w:val="center"/>
        <w:rPr>
          <w:rFonts w:ascii="Arial" w:hAnsi="Arial" w:cs="Arial"/>
        </w:rPr>
      </w:pPr>
    </w:p>
    <w:p w:rsidR="00086AF2" w:rsidRDefault="00D40EAF">
      <w:pPr>
        <w:pStyle w:val="Zkladntext31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Nařízení města Vrchlabí č. 7/2017, o vymezení úseků místních komunikací s placeným stáním ve znění následných změn provedených nařízeními č. 2/2018, č. 7/2019, č. 3/2023, č. 2/2025 a č. 3/2025, se doplňuje takto: </w:t>
      </w:r>
    </w:p>
    <w:p w:rsidR="00086AF2" w:rsidRDefault="00086AF2">
      <w:pPr>
        <w:pStyle w:val="Zkladntext31"/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:rsidR="00086AF2" w:rsidRDefault="00D40EAF">
      <w:pPr>
        <w:pStyle w:val="Zkladntext31"/>
        <w:spacing w:line="360" w:lineRule="auto"/>
      </w:pPr>
      <w:r>
        <w:rPr>
          <w:rFonts w:ascii="Arial" w:hAnsi="Arial" w:cs="Arial"/>
          <w:color w:val="000000"/>
          <w:sz w:val="22"/>
          <w:szCs w:val="22"/>
        </w:rPr>
        <w:t>V článku 2 se za písmeno l)  vkládá písmeno m), které zní:</w:t>
      </w:r>
    </w:p>
    <w:p w:rsidR="00086AF2" w:rsidRDefault="00D40EAF">
      <w:pPr>
        <w:pStyle w:val="Zkladntext31"/>
        <w:spacing w:before="120"/>
        <w:ind w:left="330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m) parkoviště v ulici Dobrovského na pozemku parc. č. 740/1 v k. ú. Vrchlabí (parkoviště u kláštera).</w:t>
      </w:r>
    </w:p>
    <w:p w:rsidR="00086AF2" w:rsidRDefault="00086AF2">
      <w:pPr>
        <w:pStyle w:val="Zkladntext31"/>
        <w:spacing w:line="360" w:lineRule="auto"/>
        <w:rPr>
          <w:rFonts w:ascii="Arial" w:hAnsi="Arial" w:cs="Arial"/>
          <w:b/>
          <w:i/>
          <w:color w:val="000000"/>
          <w:sz w:val="22"/>
          <w:szCs w:val="22"/>
        </w:rPr>
      </w:pPr>
    </w:p>
    <w:p w:rsidR="00086AF2" w:rsidRDefault="00D40EAF">
      <w:pPr>
        <w:pStyle w:val="Zkladntext31"/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 článku 4 Předplacené stání se v odst. (1) za písmeno b) vkládá písmeno c), které zní:</w:t>
      </w:r>
    </w:p>
    <w:p w:rsidR="00086AF2" w:rsidRDefault="00D40EAF">
      <w:pPr>
        <w:pStyle w:val="Zkladntext31"/>
        <w:spacing w:before="120"/>
        <w:ind w:left="330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c) nebo o vydání virtuální nepřenosné parkovací karty vázané na konkrétní RZ vozidla, která opravňuje ke stání vozidla na vymezené parkovací ploše: </w:t>
      </w:r>
    </w:p>
    <w:p w:rsidR="00086AF2" w:rsidRDefault="00D40EAF">
      <w:pPr>
        <w:pStyle w:val="Zkladntext31"/>
        <w:numPr>
          <w:ilvl w:val="0"/>
          <w:numId w:val="1"/>
        </w:numPr>
        <w:spacing w:before="120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parkoviště v ulici Vančurova na pozemku parc. č. 237/5 v k. ú. Vrchlabí (u Divadelního klubu - Kina Kartonka),</w:t>
      </w:r>
    </w:p>
    <w:p w:rsidR="00086AF2" w:rsidRDefault="00D40EAF">
      <w:pPr>
        <w:pStyle w:val="Zkladntext31"/>
        <w:numPr>
          <w:ilvl w:val="0"/>
          <w:numId w:val="1"/>
        </w:numPr>
        <w:spacing w:before="120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parkoviště v ulici Dobrovského na pozemku parc. č. 740/1 v k. ú. Vrchlabí (parkoviště u kláštera), v části parkoviště opatřené závorovým systémem.</w:t>
      </w:r>
    </w:p>
    <w:p w:rsidR="00086AF2" w:rsidRDefault="00D40EAF">
      <w:pPr>
        <w:pStyle w:val="Zkladntext31"/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Původní znění čl. 4 odst. 1 písm. c) se ruší.</w:t>
      </w:r>
    </w:p>
    <w:p w:rsidR="00086AF2" w:rsidRDefault="00D40EAF">
      <w:pPr>
        <w:pStyle w:val="Zkladntext31"/>
        <w:spacing w:before="120"/>
        <w:ind w:left="10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086AF2" w:rsidRDefault="00086AF2">
      <w:pPr>
        <w:pStyle w:val="NormlnsWWW2"/>
        <w:rPr>
          <w:rFonts w:ascii="Arial" w:hAnsi="Arial" w:cs="Arial"/>
          <w:b/>
          <w:sz w:val="22"/>
          <w:szCs w:val="22"/>
        </w:rPr>
      </w:pPr>
    </w:p>
    <w:p w:rsidR="00086AF2" w:rsidRDefault="00D40EAF">
      <w:pPr>
        <w:pStyle w:val="NormlnsWWW2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Článek  2</w:t>
      </w:r>
    </w:p>
    <w:p w:rsidR="00086AF2" w:rsidRDefault="00D40EAF">
      <w:pPr>
        <w:pStyle w:val="Zkladntext31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Závěrečná ustanovení</w:t>
      </w:r>
    </w:p>
    <w:p w:rsidR="00086AF2" w:rsidRDefault="00086AF2">
      <w:pPr>
        <w:pStyle w:val="Zkladntext31"/>
        <w:jc w:val="center"/>
        <w:rPr>
          <w:rFonts w:ascii="Arial" w:hAnsi="Arial" w:cs="Arial"/>
          <w:b/>
          <w:sz w:val="22"/>
          <w:szCs w:val="22"/>
        </w:rPr>
      </w:pPr>
    </w:p>
    <w:p w:rsidR="00086AF2" w:rsidRDefault="00D40EAF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Toto nařízení nabývá účinnosti počátkem patnáctého dne následujícího po dni jeho vyhlášení ve Sbírce právních předpisů ÚSC.</w:t>
      </w:r>
    </w:p>
    <w:p w:rsidR="00086AF2" w:rsidRDefault="00086AF2">
      <w:pPr>
        <w:pStyle w:val="ZkladntextIMP"/>
        <w:tabs>
          <w:tab w:val="left" w:pos="284"/>
        </w:tabs>
        <w:spacing w:line="228" w:lineRule="auto"/>
        <w:jc w:val="both"/>
        <w:rPr>
          <w:rFonts w:ascii="Arial" w:hAnsi="Arial" w:cs="Arial"/>
          <w:sz w:val="22"/>
          <w:szCs w:val="22"/>
        </w:rPr>
      </w:pPr>
    </w:p>
    <w:p w:rsidR="00086AF2" w:rsidRDefault="00086AF2">
      <w:pPr>
        <w:pStyle w:val="ZkladntextIMP"/>
        <w:tabs>
          <w:tab w:val="left" w:pos="284"/>
        </w:tabs>
        <w:spacing w:line="228" w:lineRule="auto"/>
        <w:jc w:val="both"/>
        <w:rPr>
          <w:rFonts w:ascii="Arial" w:hAnsi="Arial" w:cs="Arial"/>
          <w:sz w:val="22"/>
          <w:szCs w:val="22"/>
        </w:rPr>
      </w:pPr>
    </w:p>
    <w:p w:rsidR="00086AF2" w:rsidRDefault="00086AF2">
      <w:pPr>
        <w:rPr>
          <w:rFonts w:ascii="Arial" w:hAnsi="Arial" w:cs="Arial"/>
          <w:sz w:val="22"/>
          <w:szCs w:val="22"/>
        </w:rPr>
      </w:pPr>
    </w:p>
    <w:p w:rsidR="00086AF2" w:rsidRDefault="00D40EAF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Ing. Jan Sobotka v.r.   </w:t>
      </w:r>
    </w:p>
    <w:p w:rsidR="00086AF2" w:rsidRDefault="00D40EAF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starosta</w:t>
      </w:r>
    </w:p>
    <w:p w:rsidR="00086AF2" w:rsidRDefault="00086AF2">
      <w:pPr>
        <w:jc w:val="center"/>
        <w:rPr>
          <w:rFonts w:ascii="Arial" w:eastAsia="Arial" w:hAnsi="Arial" w:cs="Arial"/>
          <w:sz w:val="22"/>
          <w:szCs w:val="22"/>
        </w:rPr>
      </w:pPr>
    </w:p>
    <w:p w:rsidR="00086AF2" w:rsidRDefault="00D40EAF">
      <w:pPr>
        <w:ind w:left="705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Alfred Plašil v.r.                                                                 PhDr. Michal Vávra v.r.                                                    </w:t>
      </w:r>
      <w:r>
        <w:rPr>
          <w:rFonts w:ascii="Arial" w:eastAsia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>místostarosta                                                                        místostarosta</w:t>
      </w:r>
    </w:p>
    <w:p w:rsidR="00086AF2" w:rsidRDefault="00086AF2">
      <w:pPr>
        <w:jc w:val="both"/>
      </w:pPr>
    </w:p>
    <w:p w:rsidR="00086AF2" w:rsidRDefault="00086AF2"/>
    <w:sectPr w:rsidR="00086AF2">
      <w:headerReference w:type="default" r:id="rId13"/>
      <w:headerReference w:type="first" r:id="rId14"/>
      <w:pgSz w:w="11906" w:h="16838"/>
      <w:pgMar w:top="426" w:right="1416" w:bottom="993" w:left="1134" w:header="645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FD0" w:rsidRDefault="008C5FD0">
      <w:r>
        <w:separator/>
      </w:r>
    </w:p>
  </w:endnote>
  <w:endnote w:type="continuationSeparator" w:id="0">
    <w:p w:rsidR="008C5FD0" w:rsidRDefault="008C5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FD0" w:rsidRDefault="008C5FD0">
      <w:r>
        <w:separator/>
      </w:r>
    </w:p>
  </w:footnote>
  <w:footnote w:type="continuationSeparator" w:id="0">
    <w:p w:rsidR="008C5FD0" w:rsidRDefault="008C5F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AF2" w:rsidRDefault="00D40EAF">
    <w:pPr>
      <w:pStyle w:val="Zhlav"/>
    </w:pPr>
    <w:r>
      <w:rPr>
        <w:noProof/>
        <w:lang w:eastAsia="cs-CZ"/>
      </w:rPr>
      <mc:AlternateContent>
        <mc:Choice Requires="wpg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2230" cy="144780"/>
              <wp:effectExtent l="5715" t="635" r="8255" b="6985"/>
              <wp:wrapSquare wrapText="bothSides"/>
              <wp:docPr id="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30" cy="1447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86AF2" w:rsidRDefault="00D40EAF">
                          <w:pPr>
                            <w:pStyle w:val="Zhlav"/>
                          </w:pPr>
                          <w:r>
                            <w:rPr>
                              <w:rStyle w:val="slostrnky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</w:rPr>
                            <w:t>2</w:t>
                          </w:r>
                          <w:r>
                            <w:rPr>
                              <w:rStyle w:val="slostrnk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shape 0" o:spid="_x0000_s0" o:spt="202" type="#_x0000_t202" style="position:absolute;z-index:251659264;o:allowoverlap:true;o:allowincell:true;mso-position-horizontal-relative:margin;mso-position-horizontal:center;mso-position-vertical-relative:text;margin-top:0.05pt;mso-position-vertical:absolute;width:4.90pt;height:11.40pt;mso-wrap-distance-left:0.00pt;mso-wrap-distance-top:0.00pt;mso-wrap-distance-right:0.00pt;mso-wrap-distance-bottom:0.00pt;v-text-anchor:top;visibility:visible;" fillcolor="#FFFFFF" stroked="f">
              <v:fill opacity="0f"/>
              <w10:wrap type="square"/>
              <v:textbox inset="0,0,0,0">
                <w:txbxContent>
                  <w:p>
                    <w:pPr>
                      <w:pStyle w:val="751"/>
                      <w:pBdr/>
                      <w:spacing/>
                      <w:ind/>
                      <w:rPr/>
                    </w:pPr>
                    <w:r>
                      <w:rPr>
                        <w:rStyle w:val="750"/>
                      </w:rPr>
                      <w:fldChar w:fldCharType="begin"/>
                    </w:r>
                    <w:r>
                      <w:rPr>
                        <w:rStyle w:val="750"/>
                      </w:rPr>
                      <w:instrText xml:space="preserve"> PAGE </w:instrText>
                    </w:r>
                    <w:r>
                      <w:rPr>
                        <w:rStyle w:val="750"/>
                      </w:rPr>
                      <w:fldChar w:fldCharType="separate"/>
                    </w:r>
                    <w:r>
                      <w:rPr>
                        <w:rStyle w:val="750"/>
                      </w:rPr>
                      <w:t xml:space="preserve">2</w:t>
                    </w:r>
                    <w:r>
                      <w:rPr>
                        <w:rStyle w:val="750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AF2" w:rsidRDefault="00086AF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A1CEA"/>
    <w:multiLevelType w:val="multilevel"/>
    <w:tmpl w:val="7F7428B0"/>
    <w:lvl w:ilvl="0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AF2"/>
    <w:rsid w:val="00086AF2"/>
    <w:rsid w:val="00654827"/>
    <w:rsid w:val="008C5FD0"/>
    <w:rsid w:val="009073FE"/>
    <w:rsid w:val="00D4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55FD2"/>
  <w15:docId w15:val="{D0061A1F-DA46-44D1-9BC4-BF29BEA82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3">
    <w:name w:val="Grid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4">
    <w:name w:val="Grid Table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mavtabulkasmkou5">
    <w:name w:val="Grid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Barevntabulkasmkou6">
    <w:name w:val="Grid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2">
    <w:name w:val="List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3">
    <w:name w:val="List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mavtabulkaseznamu5">
    <w:name w:val="List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Barevntabulkaseznamu6">
    <w:name w:val="List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Nadpis1Char">
    <w:name w:val="Nadpis 1 Char"/>
    <w:basedOn w:val="Standardnpsmoodstavce"/>
    <w:link w:val="Nadpis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Pr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Bezmezer">
    <w:name w:val="No Spacing"/>
    <w:basedOn w:val="Normln"/>
    <w:uiPriority w:val="1"/>
    <w:qFormat/>
  </w:style>
  <w:style w:type="character" w:styleId="Zdraznnjemn">
    <w:name w:val="Subtle Emphasis"/>
    <w:basedOn w:val="Standardnpsmoodstavce"/>
    <w:uiPriority w:val="19"/>
    <w:qFormat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Pr>
      <w:i/>
      <w:iCs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character" w:styleId="Odkazjemn">
    <w:name w:val="Subtle Reference"/>
    <w:basedOn w:val="Standardnpsmoodstavce"/>
    <w:uiPriority w:val="31"/>
    <w:qFormat/>
    <w:rPr>
      <w:smallCaps/>
      <w:color w:val="5A5A5A" w:themeColor="text1" w:themeTint="A5"/>
    </w:rPr>
  </w:style>
  <w:style w:type="character" w:styleId="Nzevknihy">
    <w:name w:val="Book Title"/>
    <w:basedOn w:val="Standardnpsmoodstavce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Standardnpsmoodstavce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Titulek">
    <w:name w:val="caption"/>
    <w:basedOn w:val="Normln"/>
    <w:next w:val="Normln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954F72" w:themeColor="followedHyperlink"/>
      <w:u w:val="single"/>
    </w:rPr>
  </w:style>
  <w:style w:type="paragraph" w:styleId="Obsah1">
    <w:name w:val="toc 1"/>
    <w:basedOn w:val="Normln"/>
    <w:next w:val="Normln"/>
    <w:uiPriority w:val="39"/>
    <w:unhideWhenUsed/>
    <w:pPr>
      <w:spacing w:after="100"/>
    </w:pPr>
  </w:style>
  <w:style w:type="paragraph" w:styleId="Obsah2">
    <w:name w:val="toc 2"/>
    <w:basedOn w:val="Normln"/>
    <w:next w:val="Normln"/>
    <w:uiPriority w:val="39"/>
    <w:unhideWhenUsed/>
    <w:pPr>
      <w:spacing w:after="100"/>
      <w:ind w:left="220"/>
    </w:pPr>
  </w:style>
  <w:style w:type="paragraph" w:styleId="Obsah3">
    <w:name w:val="toc 3"/>
    <w:basedOn w:val="Normln"/>
    <w:next w:val="Normln"/>
    <w:uiPriority w:val="39"/>
    <w:unhideWhenUsed/>
    <w:pPr>
      <w:spacing w:after="100"/>
      <w:ind w:left="440"/>
    </w:pPr>
  </w:style>
  <w:style w:type="paragraph" w:styleId="Obsah4">
    <w:name w:val="toc 4"/>
    <w:basedOn w:val="Normln"/>
    <w:next w:val="Normln"/>
    <w:uiPriority w:val="39"/>
    <w:unhideWhenUsed/>
    <w:pPr>
      <w:spacing w:after="100"/>
      <w:ind w:left="660"/>
    </w:pPr>
  </w:style>
  <w:style w:type="paragraph" w:styleId="Obsah5">
    <w:name w:val="toc 5"/>
    <w:basedOn w:val="Normln"/>
    <w:next w:val="Normln"/>
    <w:uiPriority w:val="39"/>
    <w:unhideWhenUsed/>
    <w:pPr>
      <w:spacing w:after="100"/>
      <w:ind w:left="880"/>
    </w:pPr>
  </w:style>
  <w:style w:type="paragraph" w:styleId="Obsah6">
    <w:name w:val="toc 6"/>
    <w:basedOn w:val="Normln"/>
    <w:next w:val="Normln"/>
    <w:uiPriority w:val="39"/>
    <w:unhideWhenUsed/>
    <w:pPr>
      <w:spacing w:after="100"/>
      <w:ind w:left="1100"/>
    </w:pPr>
  </w:style>
  <w:style w:type="paragraph" w:styleId="Obsah7">
    <w:name w:val="toc 7"/>
    <w:basedOn w:val="Normln"/>
    <w:next w:val="Normln"/>
    <w:uiPriority w:val="39"/>
    <w:unhideWhenUsed/>
    <w:pPr>
      <w:spacing w:after="100"/>
      <w:ind w:left="1320"/>
    </w:pPr>
  </w:style>
  <w:style w:type="paragraph" w:styleId="Obsah8">
    <w:name w:val="toc 8"/>
    <w:basedOn w:val="Normln"/>
    <w:next w:val="Normln"/>
    <w:uiPriority w:val="39"/>
    <w:unhideWhenUsed/>
    <w:pPr>
      <w:spacing w:after="100"/>
      <w:ind w:left="1540"/>
    </w:pPr>
  </w:style>
  <w:style w:type="paragraph" w:styleId="Obsah9">
    <w:name w:val="toc 9"/>
    <w:basedOn w:val="Normln"/>
    <w:next w:val="Normln"/>
    <w:uiPriority w:val="39"/>
    <w:unhideWhenUsed/>
    <w:pPr>
      <w:spacing w:after="100"/>
      <w:ind w:left="1760"/>
    </w:pPr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</w:style>
  <w:style w:type="character" w:styleId="slostrnky">
    <w:name w:val="page number"/>
    <w:basedOn w:val="Standardnpsmoodstavce"/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Zkladntext31">
    <w:name w:val="Základní text 31"/>
    <w:basedOn w:val="Normln"/>
    <w:pPr>
      <w:jc w:val="both"/>
    </w:pPr>
    <w:rPr>
      <w:sz w:val="24"/>
    </w:rPr>
  </w:style>
  <w:style w:type="paragraph" w:customStyle="1" w:styleId="ZkladntextIMP">
    <w:name w:val="Základní text_IMP"/>
    <w:basedOn w:val="Normln"/>
    <w:pPr>
      <w:spacing w:line="276" w:lineRule="auto"/>
    </w:pPr>
    <w:rPr>
      <w:sz w:val="24"/>
    </w:rPr>
  </w:style>
  <w:style w:type="paragraph" w:customStyle="1" w:styleId="NormlnsWWW2">
    <w:name w:val="Normální (síť WWW)2"/>
    <w:basedOn w:val="Normln"/>
    <w:rPr>
      <w:rFonts w:ascii="Arial Unicode MS" w:eastAsia="Arial Unicode MS" w:hAnsi="Arial Unicode MS" w:cs="Arial Unicode MS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073F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73FE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media1.sv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0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4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Kancelář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Trýznová Anna</dc:creator>
  <cp:keywords/>
  <dc:description/>
  <cp:lastModifiedBy>Munzarová Eva</cp:lastModifiedBy>
  <cp:revision>3</cp:revision>
  <cp:lastPrinted>2026-10-22T10:40:00Z</cp:lastPrinted>
  <dcterms:created xsi:type="dcterms:W3CDTF">2026-10-22T08:50:00Z</dcterms:created>
  <dcterms:modified xsi:type="dcterms:W3CDTF">2026-10-22T10:41:00Z</dcterms:modified>
</cp:coreProperties>
</file>