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175B" w14:textId="33063876" w:rsidR="00A14B56" w:rsidRPr="00A12788" w:rsidRDefault="00387B14" w:rsidP="00A12788">
      <w:pPr>
        <w:pStyle w:val="Vnitnadresa"/>
        <w:spacing w:line="40" w:lineRule="atLeast"/>
        <w:jc w:val="both"/>
        <w:rPr>
          <w:noProof/>
          <w:spacing w:val="-32"/>
          <w:sz w:val="16"/>
          <w:szCs w:val="16"/>
        </w:rPr>
      </w:pPr>
      <w:r>
        <w:rPr>
          <w:noProof/>
          <w:spacing w:val="-32"/>
          <w:sz w:val="16"/>
          <w:szCs w:val="16"/>
        </w:rPr>
        <w:t>;</w:t>
      </w:r>
      <w:r w:rsidR="00723DAA" w:rsidRPr="00A12788">
        <w:rPr>
          <w:noProof/>
          <w:spacing w:val="-32"/>
          <w:sz w:val="16"/>
          <w:szCs w:val="16"/>
        </w:rPr>
        <w:drawing>
          <wp:inline distT="0" distB="0" distL="0" distR="0" wp14:anchorId="7DBE1527" wp14:editId="0B4A0DF5">
            <wp:extent cx="1800225" cy="485775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788" w:rsidRPr="00A12788">
        <w:rPr>
          <w:b w:val="0"/>
          <w:noProof/>
          <w:spacing w:val="-32"/>
          <w:sz w:val="16"/>
          <w:szCs w:val="16"/>
        </w:rPr>
        <w:t xml:space="preserve"> </w:t>
      </w:r>
    </w:p>
    <w:p w14:paraId="45010202" w14:textId="77777777" w:rsidR="00A14B56" w:rsidRPr="00A12788" w:rsidRDefault="00A14B56" w:rsidP="00A12788">
      <w:pPr>
        <w:pStyle w:val="Vnitnadresa"/>
        <w:spacing w:line="40" w:lineRule="atLeast"/>
        <w:jc w:val="both"/>
        <w:rPr>
          <w:noProof/>
          <w:spacing w:val="-32"/>
          <w:sz w:val="16"/>
          <w:szCs w:val="16"/>
        </w:rPr>
      </w:pPr>
    </w:p>
    <w:p w14:paraId="52B6DB9F" w14:textId="77777777" w:rsidR="00E65226" w:rsidRDefault="00E65226" w:rsidP="00E65226">
      <w:pPr>
        <w:pStyle w:val="Vnitnadresa"/>
        <w:jc w:val="both"/>
        <w:rPr>
          <w:b w:val="0"/>
          <w:noProof/>
          <w:sz w:val="24"/>
        </w:rPr>
      </w:pPr>
    </w:p>
    <w:p w14:paraId="4D4C9D1C" w14:textId="37F461F1" w:rsidR="00CA19D6" w:rsidRDefault="00E65226" w:rsidP="00CA19D6">
      <w:pPr>
        <w:pStyle w:val="Nadpis1"/>
        <w:spacing w:after="120"/>
        <w:ind w:left="0"/>
        <w:jc w:val="center"/>
        <w:rPr>
          <w:szCs w:val="28"/>
        </w:rPr>
      </w:pPr>
      <w:r w:rsidRPr="00E65226">
        <w:rPr>
          <w:szCs w:val="28"/>
        </w:rPr>
        <w:t>NAŘÍZENÍ MĚSTA LÁZNĚ BOHDANEČ</w:t>
      </w:r>
      <w:r w:rsidR="00291599">
        <w:rPr>
          <w:szCs w:val="28"/>
        </w:rPr>
        <w:t xml:space="preserve"> </w:t>
      </w:r>
    </w:p>
    <w:p w14:paraId="5D07390C" w14:textId="2CB8EC43" w:rsidR="00E65226" w:rsidRPr="003A0CB2" w:rsidRDefault="003A0CB2" w:rsidP="00CA19D6">
      <w:pPr>
        <w:pStyle w:val="Nadpis1"/>
        <w:spacing w:after="120"/>
        <w:ind w:left="0"/>
        <w:jc w:val="center"/>
        <w:rPr>
          <w:b w:val="0"/>
          <w:sz w:val="22"/>
          <w:szCs w:val="22"/>
        </w:rPr>
      </w:pPr>
      <w:r w:rsidRPr="003A0CB2">
        <w:rPr>
          <w:sz w:val="22"/>
          <w:szCs w:val="22"/>
        </w:rPr>
        <w:t>o placeném stání na místních komunikacích</w:t>
      </w:r>
    </w:p>
    <w:p w14:paraId="792475B8" w14:textId="77777777" w:rsidR="0078671B" w:rsidRDefault="0078671B" w:rsidP="00E65226">
      <w:pPr>
        <w:jc w:val="both"/>
        <w:rPr>
          <w:rFonts w:ascii="Arial Narrow" w:hAnsi="Arial Narrow"/>
          <w:sz w:val="22"/>
          <w:szCs w:val="22"/>
        </w:rPr>
      </w:pPr>
    </w:p>
    <w:p w14:paraId="06C5176C" w14:textId="57A05C1A" w:rsidR="00E65226" w:rsidRPr="00E65226" w:rsidRDefault="00E65226" w:rsidP="00E65226">
      <w:pPr>
        <w:jc w:val="both"/>
        <w:rPr>
          <w:rFonts w:ascii="Arial Narrow" w:hAnsi="Arial Narrow"/>
          <w:sz w:val="22"/>
          <w:szCs w:val="22"/>
        </w:rPr>
      </w:pPr>
      <w:r w:rsidRPr="00E65226">
        <w:rPr>
          <w:rFonts w:ascii="Arial Narrow" w:hAnsi="Arial Narrow"/>
          <w:sz w:val="22"/>
          <w:szCs w:val="22"/>
        </w:rPr>
        <w:t xml:space="preserve">Nařízení vydává </w:t>
      </w:r>
      <w:r w:rsidR="00AA5C5B">
        <w:rPr>
          <w:rFonts w:ascii="Arial Narrow" w:hAnsi="Arial Narrow"/>
          <w:sz w:val="22"/>
          <w:szCs w:val="22"/>
        </w:rPr>
        <w:t>R</w:t>
      </w:r>
      <w:r w:rsidRPr="00E65226">
        <w:rPr>
          <w:rFonts w:ascii="Arial Narrow" w:hAnsi="Arial Narrow"/>
          <w:sz w:val="22"/>
          <w:szCs w:val="22"/>
        </w:rPr>
        <w:t>ada města Lázně Bohdaneč na základě</w:t>
      </w:r>
      <w:r w:rsidR="004C3215">
        <w:rPr>
          <w:rFonts w:ascii="Arial Narrow" w:hAnsi="Arial Narrow"/>
          <w:sz w:val="22"/>
          <w:szCs w:val="22"/>
        </w:rPr>
        <w:t xml:space="preserve"> zmocnění daného § 2</w:t>
      </w:r>
      <w:r w:rsidR="004F0D1F">
        <w:rPr>
          <w:rFonts w:ascii="Arial Narrow" w:hAnsi="Arial Narrow"/>
          <w:sz w:val="22"/>
          <w:szCs w:val="22"/>
        </w:rPr>
        <w:t>3, odst. 1</w:t>
      </w:r>
      <w:r w:rsidR="0059047A">
        <w:rPr>
          <w:rFonts w:ascii="Arial Narrow" w:hAnsi="Arial Narrow"/>
          <w:sz w:val="22"/>
          <w:szCs w:val="22"/>
        </w:rPr>
        <w:t xml:space="preserve"> písm. a)</w:t>
      </w:r>
      <w:r w:rsidR="004F0D1F">
        <w:rPr>
          <w:rFonts w:ascii="Arial Narrow" w:hAnsi="Arial Narrow"/>
          <w:sz w:val="22"/>
          <w:szCs w:val="22"/>
        </w:rPr>
        <w:t>, zákona</w:t>
      </w:r>
      <w:r w:rsidRPr="00E65226">
        <w:rPr>
          <w:rFonts w:ascii="Arial Narrow" w:hAnsi="Arial Narrow"/>
          <w:sz w:val="22"/>
          <w:szCs w:val="22"/>
        </w:rPr>
        <w:t xml:space="preserve"> č. 13/1997 Sb., o pozemních komunikacích ve znění pozdějších změn a doplňků a v souladu s </w:t>
      </w:r>
      <w:r w:rsidR="00757303">
        <w:rPr>
          <w:rFonts w:ascii="Arial Narrow" w:hAnsi="Arial Narrow"/>
          <w:sz w:val="22"/>
          <w:szCs w:val="22"/>
        </w:rPr>
        <w:t xml:space="preserve">§ 11 </w:t>
      </w:r>
      <w:r w:rsidR="0059047A">
        <w:rPr>
          <w:rFonts w:ascii="Arial Narrow" w:hAnsi="Arial Narrow"/>
          <w:sz w:val="22"/>
          <w:szCs w:val="22"/>
        </w:rPr>
        <w:t xml:space="preserve">odst. 1 </w:t>
      </w:r>
      <w:r w:rsidR="00757303">
        <w:rPr>
          <w:rFonts w:ascii="Arial Narrow" w:hAnsi="Arial Narrow"/>
          <w:sz w:val="22"/>
          <w:szCs w:val="22"/>
        </w:rPr>
        <w:t xml:space="preserve">a </w:t>
      </w:r>
      <w:r w:rsidRPr="00E65226">
        <w:rPr>
          <w:rFonts w:ascii="Arial Narrow" w:hAnsi="Arial Narrow"/>
          <w:sz w:val="22"/>
          <w:szCs w:val="22"/>
        </w:rPr>
        <w:t xml:space="preserve">§ 102 </w:t>
      </w:r>
      <w:r w:rsidR="0059047A">
        <w:rPr>
          <w:rFonts w:ascii="Arial Narrow" w:hAnsi="Arial Narrow"/>
          <w:sz w:val="22"/>
          <w:szCs w:val="22"/>
        </w:rPr>
        <w:t xml:space="preserve">odst. 2, písm. d) </w:t>
      </w:r>
      <w:r w:rsidRPr="00E65226">
        <w:rPr>
          <w:rFonts w:ascii="Arial Narrow" w:hAnsi="Arial Narrow"/>
          <w:sz w:val="22"/>
          <w:szCs w:val="22"/>
        </w:rPr>
        <w:t>zákona č.</w:t>
      </w:r>
      <w:r w:rsidR="00AA5C5B">
        <w:rPr>
          <w:rFonts w:ascii="Arial Narrow" w:hAnsi="Arial Narrow"/>
          <w:sz w:val="22"/>
          <w:szCs w:val="22"/>
        </w:rPr>
        <w:t> </w:t>
      </w:r>
      <w:r w:rsidRPr="00E65226">
        <w:rPr>
          <w:rFonts w:ascii="Arial Narrow" w:hAnsi="Arial Narrow"/>
          <w:sz w:val="22"/>
          <w:szCs w:val="22"/>
        </w:rPr>
        <w:t>128/2000 Sb., o obcích</w:t>
      </w:r>
      <w:r w:rsidR="00757303">
        <w:rPr>
          <w:rFonts w:ascii="Arial Narrow" w:hAnsi="Arial Narrow"/>
          <w:sz w:val="22"/>
          <w:szCs w:val="22"/>
        </w:rPr>
        <w:t>,</w:t>
      </w:r>
      <w:r w:rsidRPr="00E65226">
        <w:rPr>
          <w:rFonts w:ascii="Arial Narrow" w:hAnsi="Arial Narrow"/>
          <w:sz w:val="22"/>
          <w:szCs w:val="22"/>
        </w:rPr>
        <w:t xml:space="preserve"> ve znění pozdějších změn a doplňků</w:t>
      </w:r>
      <w:r w:rsidR="00757303">
        <w:rPr>
          <w:rFonts w:ascii="Arial Narrow" w:hAnsi="Arial Narrow"/>
          <w:sz w:val="22"/>
          <w:szCs w:val="22"/>
        </w:rPr>
        <w:t>,</w:t>
      </w:r>
      <w:r w:rsidRPr="00E65226">
        <w:rPr>
          <w:rFonts w:ascii="Arial Narrow" w:hAnsi="Arial Narrow"/>
          <w:sz w:val="22"/>
          <w:szCs w:val="22"/>
        </w:rPr>
        <w:t xml:space="preserve"> </w:t>
      </w:r>
      <w:r w:rsidRPr="00F33455">
        <w:rPr>
          <w:rFonts w:ascii="Arial Narrow" w:hAnsi="Arial Narrow"/>
          <w:sz w:val="22"/>
          <w:szCs w:val="22"/>
        </w:rPr>
        <w:t>usnesením č.</w:t>
      </w:r>
      <w:r w:rsidR="00986407">
        <w:rPr>
          <w:rFonts w:ascii="Arial Narrow" w:hAnsi="Arial Narrow"/>
          <w:sz w:val="22"/>
          <w:szCs w:val="22"/>
        </w:rPr>
        <w:t xml:space="preserve"> 102.28</w:t>
      </w:r>
      <w:r w:rsidR="00291599">
        <w:rPr>
          <w:rFonts w:ascii="Arial Narrow" w:hAnsi="Arial Narrow"/>
          <w:sz w:val="22"/>
          <w:szCs w:val="22"/>
        </w:rPr>
        <w:t xml:space="preserve"> </w:t>
      </w:r>
      <w:r w:rsidRPr="00F33455">
        <w:rPr>
          <w:rFonts w:ascii="Arial Narrow" w:hAnsi="Arial Narrow"/>
          <w:sz w:val="22"/>
          <w:szCs w:val="22"/>
        </w:rPr>
        <w:t>ze</w:t>
      </w:r>
      <w:r w:rsidR="00736089">
        <w:rPr>
          <w:rFonts w:ascii="Arial Narrow" w:hAnsi="Arial Narrow"/>
          <w:sz w:val="22"/>
          <w:szCs w:val="22"/>
        </w:rPr>
        <w:t> </w:t>
      </w:r>
      <w:r w:rsidRPr="00F33455">
        <w:rPr>
          <w:rFonts w:ascii="Arial Narrow" w:hAnsi="Arial Narrow"/>
          <w:sz w:val="22"/>
          <w:szCs w:val="22"/>
        </w:rPr>
        <w:t xml:space="preserve">dne </w:t>
      </w:r>
      <w:r w:rsidR="00986407">
        <w:rPr>
          <w:rFonts w:ascii="Arial Narrow" w:hAnsi="Arial Narrow"/>
          <w:sz w:val="22"/>
          <w:szCs w:val="22"/>
        </w:rPr>
        <w:t>18.3</w:t>
      </w:r>
      <w:r w:rsidR="00291599">
        <w:rPr>
          <w:rFonts w:ascii="Arial Narrow" w:hAnsi="Arial Narrow"/>
          <w:sz w:val="22"/>
          <w:szCs w:val="22"/>
        </w:rPr>
        <w:t>.2026</w:t>
      </w:r>
    </w:p>
    <w:p w14:paraId="52203C36" w14:textId="77777777" w:rsidR="00E65226" w:rsidRDefault="00E65226" w:rsidP="00E65226">
      <w:pPr>
        <w:jc w:val="both"/>
        <w:rPr>
          <w:rFonts w:ascii="Arial Narrow" w:hAnsi="Arial Narrow"/>
          <w:sz w:val="22"/>
          <w:szCs w:val="22"/>
        </w:rPr>
      </w:pPr>
    </w:p>
    <w:p w14:paraId="39B2C360" w14:textId="77777777" w:rsidR="002379D1" w:rsidRPr="00E65226" w:rsidRDefault="002379D1" w:rsidP="00E65226">
      <w:pPr>
        <w:jc w:val="both"/>
        <w:rPr>
          <w:rFonts w:ascii="Arial Narrow" w:hAnsi="Arial Narrow"/>
          <w:sz w:val="22"/>
          <w:szCs w:val="22"/>
        </w:rPr>
      </w:pPr>
    </w:p>
    <w:p w14:paraId="19FE18F6" w14:textId="77777777" w:rsidR="004F0D1F" w:rsidRPr="00AA5C5B" w:rsidRDefault="00C1679B" w:rsidP="00C1679B">
      <w:pPr>
        <w:pStyle w:val="Nadpis1"/>
        <w:numPr>
          <w:ilvl w:val="0"/>
          <w:numId w:val="19"/>
        </w:numPr>
        <w:spacing w:after="120"/>
        <w:ind w:hanging="654"/>
        <w:jc w:val="center"/>
        <w:rPr>
          <w:sz w:val="22"/>
          <w:szCs w:val="22"/>
        </w:rPr>
      </w:pPr>
      <w:r>
        <w:rPr>
          <w:sz w:val="22"/>
          <w:szCs w:val="22"/>
        </w:rPr>
        <w:t>Předmět úpravy</w:t>
      </w:r>
    </w:p>
    <w:p w14:paraId="44105C19" w14:textId="77777777" w:rsidR="004F0D1F" w:rsidRPr="00AA5C5B" w:rsidRDefault="004F0D1F" w:rsidP="004F0D1F">
      <w:pPr>
        <w:tabs>
          <w:tab w:val="left" w:pos="425"/>
        </w:tabs>
        <w:spacing w:after="120"/>
        <w:rPr>
          <w:rFonts w:ascii="Arial Narrow" w:hAnsi="Arial Narrow"/>
          <w:sz w:val="22"/>
        </w:rPr>
      </w:pPr>
      <w:r w:rsidRPr="00AA5C5B">
        <w:rPr>
          <w:rFonts w:ascii="Arial Narrow" w:hAnsi="Arial Narrow"/>
          <w:sz w:val="22"/>
        </w:rPr>
        <w:t>Tímto nařízením města se vymezují:</w:t>
      </w:r>
    </w:p>
    <w:p w14:paraId="42AA16E7" w14:textId="77777777" w:rsidR="004F0D1F" w:rsidRPr="00AA5C5B" w:rsidRDefault="004F0D1F" w:rsidP="00FF2697">
      <w:pPr>
        <w:numPr>
          <w:ilvl w:val="0"/>
          <w:numId w:val="16"/>
        </w:numPr>
        <w:spacing w:after="120"/>
        <w:jc w:val="both"/>
        <w:rPr>
          <w:rFonts w:ascii="Arial Narrow" w:hAnsi="Arial Narrow"/>
          <w:sz w:val="22"/>
        </w:rPr>
      </w:pPr>
      <w:r w:rsidRPr="00AA5C5B">
        <w:rPr>
          <w:rFonts w:ascii="Arial Narrow" w:hAnsi="Arial Narrow"/>
          <w:sz w:val="22"/>
        </w:rPr>
        <w:t xml:space="preserve">oblasti města, ve kterých lze v souladu s ustanovením § 23 odst. 1) písm. a) zákona užít místní komunikace nebo jejich </w:t>
      </w:r>
      <w:r w:rsidR="00627C34">
        <w:rPr>
          <w:rFonts w:ascii="Arial Narrow" w:hAnsi="Arial Narrow"/>
          <w:sz w:val="22"/>
        </w:rPr>
        <w:t xml:space="preserve">určené </w:t>
      </w:r>
      <w:r w:rsidRPr="00AA5C5B">
        <w:rPr>
          <w:rFonts w:ascii="Arial Narrow" w:hAnsi="Arial Narrow"/>
          <w:sz w:val="22"/>
        </w:rPr>
        <w:t>úseky ke stání silničního motorového vozidla</w:t>
      </w:r>
      <w:r w:rsidR="00627C34">
        <w:rPr>
          <w:rFonts w:ascii="Arial Narrow" w:hAnsi="Arial Narrow"/>
          <w:sz w:val="22"/>
        </w:rPr>
        <w:t xml:space="preserve"> na dobu časově omezenou, nejvýše však na dobu 24 hodin</w:t>
      </w:r>
      <w:r w:rsidRPr="00AA5C5B">
        <w:rPr>
          <w:rFonts w:ascii="Arial Narrow" w:hAnsi="Arial Narrow"/>
          <w:sz w:val="22"/>
        </w:rPr>
        <w:t xml:space="preserve"> za cenu sjednanou v souladu s cenovými předpisy,</w:t>
      </w:r>
    </w:p>
    <w:p w14:paraId="123D845F" w14:textId="77777777" w:rsidR="004F0D1F" w:rsidRPr="00AA5C5B" w:rsidRDefault="004F0D1F" w:rsidP="00FF2697">
      <w:pPr>
        <w:numPr>
          <w:ilvl w:val="0"/>
          <w:numId w:val="16"/>
        </w:numPr>
        <w:spacing w:after="120"/>
        <w:jc w:val="both"/>
        <w:rPr>
          <w:rFonts w:ascii="Arial Narrow" w:hAnsi="Arial Narrow"/>
          <w:sz w:val="22"/>
        </w:rPr>
      </w:pPr>
      <w:r w:rsidRPr="00AA5C5B">
        <w:rPr>
          <w:rFonts w:ascii="Arial Narrow" w:hAnsi="Arial Narrow"/>
          <w:sz w:val="22"/>
        </w:rPr>
        <w:t>způsob placení sjednané ceny a prokazování jejího zaplacení.</w:t>
      </w:r>
    </w:p>
    <w:p w14:paraId="5D0BEBEE" w14:textId="77777777" w:rsidR="00E65226" w:rsidRDefault="00E65226" w:rsidP="00E65226">
      <w:pPr>
        <w:jc w:val="both"/>
        <w:rPr>
          <w:rFonts w:ascii="Arial Narrow" w:hAnsi="Arial Narrow"/>
          <w:b/>
          <w:color w:val="0070C0"/>
          <w:sz w:val="22"/>
          <w:szCs w:val="22"/>
        </w:rPr>
      </w:pPr>
      <w:r w:rsidRPr="00AA5C5B">
        <w:rPr>
          <w:rFonts w:ascii="Arial Narrow" w:hAnsi="Arial Narrow"/>
          <w:b/>
          <w:color w:val="0070C0"/>
          <w:sz w:val="22"/>
          <w:szCs w:val="22"/>
        </w:rPr>
        <w:t xml:space="preserve"> </w:t>
      </w:r>
    </w:p>
    <w:p w14:paraId="2D66E4E0" w14:textId="77777777" w:rsidR="002379D1" w:rsidRPr="00AA5C5B" w:rsidRDefault="002379D1" w:rsidP="00E65226">
      <w:pPr>
        <w:jc w:val="both"/>
        <w:rPr>
          <w:rFonts w:ascii="Arial Narrow" w:hAnsi="Arial Narrow"/>
          <w:color w:val="0070C0"/>
          <w:sz w:val="22"/>
          <w:szCs w:val="22"/>
        </w:rPr>
      </w:pPr>
    </w:p>
    <w:p w14:paraId="5F672FED" w14:textId="77777777" w:rsidR="004F0D1F" w:rsidRPr="005F7567" w:rsidRDefault="004F0D1F" w:rsidP="00D32E1F">
      <w:pPr>
        <w:pStyle w:val="Nadpis1"/>
        <w:spacing w:after="120"/>
        <w:ind w:left="0"/>
        <w:jc w:val="center"/>
        <w:rPr>
          <w:sz w:val="22"/>
          <w:szCs w:val="22"/>
        </w:rPr>
      </w:pPr>
      <w:r w:rsidRPr="005F7567">
        <w:rPr>
          <w:sz w:val="22"/>
          <w:szCs w:val="22"/>
        </w:rPr>
        <w:t>II. Vymezení oblasti s placeným stáním</w:t>
      </w:r>
    </w:p>
    <w:p w14:paraId="14A68D0A" w14:textId="77777777" w:rsidR="004F0D1F" w:rsidRPr="005F7567" w:rsidRDefault="004F0D1F" w:rsidP="004F0D1F">
      <w:pPr>
        <w:spacing w:after="120"/>
        <w:jc w:val="both"/>
        <w:rPr>
          <w:rFonts w:ascii="Arial Narrow" w:hAnsi="Arial Narrow"/>
          <w:sz w:val="22"/>
        </w:rPr>
      </w:pPr>
      <w:r w:rsidRPr="005F7567">
        <w:rPr>
          <w:rFonts w:ascii="Arial Narrow" w:hAnsi="Arial Narrow"/>
          <w:sz w:val="22"/>
        </w:rPr>
        <w:t>Za cenu sjednanou v souladu s cenovými předpisy lze užít ke stání silničních motorových vozidel tyto místní komunikace města Lázně Bohdaneč:</w:t>
      </w:r>
    </w:p>
    <w:p w14:paraId="547D685C" w14:textId="77777777" w:rsidR="004F0D1F" w:rsidRPr="005F7567" w:rsidRDefault="004F0D1F" w:rsidP="004F0D1F">
      <w:pPr>
        <w:numPr>
          <w:ilvl w:val="0"/>
          <w:numId w:val="18"/>
        </w:numPr>
        <w:spacing w:after="120"/>
        <w:jc w:val="both"/>
        <w:rPr>
          <w:rFonts w:ascii="Arial Narrow" w:hAnsi="Arial Narrow"/>
          <w:sz w:val="22"/>
        </w:rPr>
      </w:pPr>
      <w:r w:rsidRPr="005F7567">
        <w:rPr>
          <w:rFonts w:ascii="Arial Narrow" w:hAnsi="Arial Narrow"/>
          <w:sz w:val="22"/>
        </w:rPr>
        <w:t>parkoviště na Masarykově náměstí v prostoru mezi radnicí a vstupní budovou Léčebných lázní Bohdaneč a.s.,</w:t>
      </w:r>
    </w:p>
    <w:p w14:paraId="6A19864F" w14:textId="77777777" w:rsidR="004F0D1F" w:rsidRPr="00EF20A6" w:rsidRDefault="004F0D1F" w:rsidP="004F0D1F">
      <w:pPr>
        <w:numPr>
          <w:ilvl w:val="0"/>
          <w:numId w:val="18"/>
        </w:numPr>
        <w:spacing w:after="120"/>
        <w:jc w:val="both"/>
        <w:rPr>
          <w:rFonts w:ascii="Arial Narrow" w:hAnsi="Arial Narrow"/>
          <w:sz w:val="22"/>
        </w:rPr>
      </w:pPr>
      <w:r w:rsidRPr="005F7567">
        <w:rPr>
          <w:rFonts w:ascii="Arial Narrow" w:hAnsi="Arial Narrow"/>
          <w:sz w:val="22"/>
        </w:rPr>
        <w:t xml:space="preserve">parkoviště v Pernštýnské ulici ze směru od Pardubic po pravé straně naproti trolejbusové zastávce </w:t>
      </w:r>
      <w:r w:rsidRPr="00EF20A6">
        <w:rPr>
          <w:rFonts w:ascii="Arial Narrow" w:hAnsi="Arial Narrow"/>
          <w:sz w:val="22"/>
        </w:rPr>
        <w:t>V</w:t>
      </w:r>
      <w:r w:rsidR="005F7567" w:rsidRPr="00EF20A6">
        <w:rPr>
          <w:rFonts w:ascii="Arial Narrow" w:hAnsi="Arial Narrow"/>
          <w:sz w:val="22"/>
        </w:rPr>
        <w:t> </w:t>
      </w:r>
      <w:r w:rsidRPr="00EF20A6">
        <w:rPr>
          <w:rFonts w:ascii="Arial Narrow" w:hAnsi="Arial Narrow"/>
          <w:sz w:val="22"/>
        </w:rPr>
        <w:t>Ráji</w:t>
      </w:r>
      <w:r w:rsidR="005F7567" w:rsidRPr="00EF20A6">
        <w:rPr>
          <w:rFonts w:ascii="Arial Narrow" w:hAnsi="Arial Narrow"/>
          <w:sz w:val="22"/>
        </w:rPr>
        <w:t>,</w:t>
      </w:r>
    </w:p>
    <w:p w14:paraId="70426C53" w14:textId="77777777" w:rsidR="005F7567" w:rsidRPr="00EF20A6" w:rsidRDefault="005F7567" w:rsidP="004F0D1F">
      <w:pPr>
        <w:numPr>
          <w:ilvl w:val="0"/>
          <w:numId w:val="18"/>
        </w:numPr>
        <w:spacing w:after="120"/>
        <w:jc w:val="both"/>
        <w:rPr>
          <w:rFonts w:ascii="Arial Narrow" w:hAnsi="Arial Narrow"/>
          <w:sz w:val="22"/>
        </w:rPr>
      </w:pPr>
      <w:r w:rsidRPr="00EF20A6">
        <w:rPr>
          <w:rFonts w:ascii="Arial Narrow" w:hAnsi="Arial Narrow"/>
          <w:sz w:val="22"/>
        </w:rPr>
        <w:t>parkoviště v Šípkově ulici v lokalitě Za Pivovarem po levé straně ze směru od Pardubic.</w:t>
      </w:r>
    </w:p>
    <w:p w14:paraId="3F428E02" w14:textId="77777777" w:rsidR="005F7567" w:rsidRDefault="005F7567" w:rsidP="005F7567">
      <w:pPr>
        <w:ind w:left="757"/>
        <w:jc w:val="both"/>
        <w:rPr>
          <w:rFonts w:ascii="Arial Narrow" w:hAnsi="Arial Narrow"/>
          <w:color w:val="0070C0"/>
          <w:sz w:val="22"/>
        </w:rPr>
      </w:pPr>
    </w:p>
    <w:p w14:paraId="774EC541" w14:textId="77777777" w:rsidR="002379D1" w:rsidRPr="00AA5C5B" w:rsidRDefault="002379D1" w:rsidP="005F7567">
      <w:pPr>
        <w:ind w:left="757"/>
        <w:jc w:val="both"/>
        <w:rPr>
          <w:rFonts w:ascii="Arial Narrow" w:hAnsi="Arial Narrow"/>
          <w:color w:val="0070C0"/>
          <w:sz w:val="22"/>
        </w:rPr>
      </w:pPr>
    </w:p>
    <w:p w14:paraId="23F24959" w14:textId="77777777" w:rsidR="004F0D1F" w:rsidRPr="00FF2697" w:rsidRDefault="004F0D1F" w:rsidP="00C1679B">
      <w:pPr>
        <w:pStyle w:val="Nadpis1"/>
        <w:spacing w:after="120"/>
        <w:ind w:left="0"/>
        <w:jc w:val="center"/>
        <w:rPr>
          <w:sz w:val="22"/>
          <w:szCs w:val="22"/>
        </w:rPr>
      </w:pPr>
      <w:r w:rsidRPr="00FF2697">
        <w:rPr>
          <w:sz w:val="22"/>
          <w:szCs w:val="22"/>
        </w:rPr>
        <w:t>III. Úhrada poplatku</w:t>
      </w:r>
    </w:p>
    <w:p w14:paraId="20F4A331" w14:textId="251C1E8A" w:rsidR="004F0D1F" w:rsidRPr="00FF2697" w:rsidRDefault="004F0D1F" w:rsidP="004F0D1F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 w:rsidRPr="00FF2697">
        <w:rPr>
          <w:rFonts w:ascii="Arial Narrow" w:hAnsi="Arial Narrow"/>
          <w:sz w:val="22"/>
        </w:rPr>
        <w:t>Úhrada poplatku za stání motorového vozidla na místě vymezeném v</w:t>
      </w:r>
      <w:r w:rsidR="00D32E1F">
        <w:rPr>
          <w:rFonts w:ascii="Arial Narrow" w:hAnsi="Arial Narrow"/>
          <w:sz w:val="22"/>
        </w:rPr>
        <w:t> </w:t>
      </w:r>
      <w:r w:rsidRPr="00FF2697">
        <w:rPr>
          <w:rFonts w:ascii="Arial Narrow" w:hAnsi="Arial Narrow"/>
          <w:sz w:val="22"/>
        </w:rPr>
        <w:t>článku</w:t>
      </w:r>
      <w:r w:rsidR="00D32E1F">
        <w:rPr>
          <w:rFonts w:ascii="Arial Narrow" w:hAnsi="Arial Narrow"/>
          <w:sz w:val="22"/>
        </w:rPr>
        <w:t xml:space="preserve"> II.</w:t>
      </w:r>
      <w:r w:rsidRPr="00FF2697">
        <w:rPr>
          <w:rFonts w:ascii="Arial Narrow" w:hAnsi="Arial Narrow"/>
          <w:sz w:val="22"/>
        </w:rPr>
        <w:t xml:space="preserve"> písm. a) tohoto nařízení města se provádí v parkovacím automatu umístěném ve středu parkoviště podle pokynů uvedených na</w:t>
      </w:r>
      <w:r w:rsidR="00043081" w:rsidRPr="00FF2697">
        <w:rPr>
          <w:rFonts w:ascii="Arial Narrow" w:hAnsi="Arial Narrow"/>
          <w:sz w:val="22"/>
        </w:rPr>
        <w:t> </w:t>
      </w:r>
      <w:r w:rsidRPr="00FF2697">
        <w:rPr>
          <w:rFonts w:ascii="Arial Narrow" w:hAnsi="Arial Narrow"/>
          <w:sz w:val="22"/>
        </w:rPr>
        <w:t xml:space="preserve">parkovacím automatu. Parkovací automat po uhrazení ceny vytiskne lístek. </w:t>
      </w:r>
    </w:p>
    <w:p w14:paraId="642549B1" w14:textId="77777777" w:rsidR="004F0D1F" w:rsidRPr="00EF20A6" w:rsidRDefault="004F0D1F" w:rsidP="004F0D1F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 w:rsidRPr="00FF2697">
        <w:rPr>
          <w:rFonts w:ascii="Arial Narrow" w:hAnsi="Arial Narrow"/>
          <w:sz w:val="22"/>
        </w:rPr>
        <w:t xml:space="preserve">Úhrada poplatku za stání motorového vozidla na místě vymezeném v článku </w:t>
      </w:r>
      <w:r w:rsidR="00D32E1F">
        <w:rPr>
          <w:rFonts w:ascii="Arial Narrow" w:hAnsi="Arial Narrow"/>
          <w:sz w:val="22"/>
        </w:rPr>
        <w:t>II.</w:t>
      </w:r>
      <w:r w:rsidRPr="00FF2697">
        <w:rPr>
          <w:rFonts w:ascii="Arial Narrow" w:hAnsi="Arial Narrow"/>
          <w:sz w:val="22"/>
        </w:rPr>
        <w:t xml:space="preserve"> písm. b) tohoto nařízení   města se provádí v parkovacím automatu umístěném na výjezdu z parkoviště podle pokynů uvedených </w:t>
      </w:r>
      <w:r w:rsidRPr="00EF20A6">
        <w:rPr>
          <w:rFonts w:ascii="Arial Narrow" w:hAnsi="Arial Narrow"/>
          <w:sz w:val="22"/>
        </w:rPr>
        <w:t>na</w:t>
      </w:r>
      <w:r w:rsidR="00043081" w:rsidRPr="00EF20A6">
        <w:rPr>
          <w:rFonts w:ascii="Arial Narrow" w:hAnsi="Arial Narrow"/>
          <w:sz w:val="22"/>
        </w:rPr>
        <w:t> </w:t>
      </w:r>
      <w:r w:rsidRPr="00EF20A6">
        <w:rPr>
          <w:rFonts w:ascii="Arial Narrow" w:hAnsi="Arial Narrow"/>
          <w:sz w:val="22"/>
        </w:rPr>
        <w:t>parkovacím automatu. Parkovací automat po uhrazení ceny vytiskne lístek.</w:t>
      </w:r>
    </w:p>
    <w:p w14:paraId="058902AA" w14:textId="77777777" w:rsidR="00FF2697" w:rsidRPr="00EF20A6" w:rsidRDefault="00FF2697" w:rsidP="004F0D1F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 w:rsidRPr="00EF20A6">
        <w:rPr>
          <w:rFonts w:ascii="Arial Narrow" w:hAnsi="Arial Narrow"/>
          <w:sz w:val="22"/>
        </w:rPr>
        <w:t xml:space="preserve">Úhrada poplatku za stání motorového vozidla na místě vymezeném v článku </w:t>
      </w:r>
      <w:r w:rsidR="00D32E1F" w:rsidRPr="00EF20A6">
        <w:rPr>
          <w:rFonts w:ascii="Arial Narrow" w:hAnsi="Arial Narrow"/>
          <w:sz w:val="22"/>
        </w:rPr>
        <w:t>II.</w:t>
      </w:r>
      <w:r w:rsidRPr="00EF20A6">
        <w:rPr>
          <w:rFonts w:ascii="Arial Narrow" w:hAnsi="Arial Narrow"/>
          <w:sz w:val="22"/>
        </w:rPr>
        <w:t xml:space="preserve"> písm. c) tohoto nařízení   města se provádí v parkovacím automatu umístěném </w:t>
      </w:r>
      <w:r w:rsidR="006561E6" w:rsidRPr="00EF20A6">
        <w:rPr>
          <w:rFonts w:ascii="Arial Narrow" w:hAnsi="Arial Narrow"/>
          <w:sz w:val="22"/>
        </w:rPr>
        <w:t>na kraji</w:t>
      </w:r>
      <w:r w:rsidR="006C19EC" w:rsidRPr="00EF20A6">
        <w:rPr>
          <w:rFonts w:ascii="Arial Narrow" w:hAnsi="Arial Narrow"/>
          <w:sz w:val="22"/>
        </w:rPr>
        <w:t xml:space="preserve"> parkoviště</w:t>
      </w:r>
      <w:r w:rsidRPr="00EF20A6">
        <w:rPr>
          <w:rFonts w:ascii="Arial Narrow" w:hAnsi="Arial Narrow"/>
          <w:sz w:val="22"/>
        </w:rPr>
        <w:t xml:space="preserve"> podle pokynů uvedených na</w:t>
      </w:r>
      <w:r w:rsidR="006561E6" w:rsidRPr="00EF20A6">
        <w:rPr>
          <w:rFonts w:ascii="Arial Narrow" w:hAnsi="Arial Narrow"/>
          <w:sz w:val="22"/>
        </w:rPr>
        <w:t> </w:t>
      </w:r>
      <w:r w:rsidRPr="00EF20A6">
        <w:rPr>
          <w:rFonts w:ascii="Arial Narrow" w:hAnsi="Arial Narrow"/>
          <w:sz w:val="22"/>
        </w:rPr>
        <w:t>parkovacím automatu. Parkovací automat po uhrazení ceny vytiskne lístek.</w:t>
      </w:r>
    </w:p>
    <w:p w14:paraId="7437F4CB" w14:textId="77777777" w:rsidR="004F0D1F" w:rsidRDefault="001F4185" w:rsidP="004F0D1F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 w:rsidRPr="00EF20A6">
        <w:rPr>
          <w:rFonts w:ascii="Arial Narrow" w:hAnsi="Arial Narrow"/>
          <w:sz w:val="22"/>
        </w:rPr>
        <w:t xml:space="preserve">Zaplacení poplatku v parkovacím automatu dle článku </w:t>
      </w:r>
      <w:r w:rsidR="00D32E1F" w:rsidRPr="00EF20A6">
        <w:rPr>
          <w:rFonts w:ascii="Arial Narrow" w:hAnsi="Arial Narrow"/>
          <w:sz w:val="22"/>
        </w:rPr>
        <w:t>III.</w:t>
      </w:r>
      <w:r w:rsidRPr="00EF20A6">
        <w:rPr>
          <w:rFonts w:ascii="Arial Narrow" w:hAnsi="Arial Narrow"/>
          <w:sz w:val="22"/>
        </w:rPr>
        <w:t xml:space="preserve"> odst. 1)</w:t>
      </w:r>
      <w:r w:rsidR="00FF2697" w:rsidRPr="00EF20A6">
        <w:rPr>
          <w:rFonts w:ascii="Arial Narrow" w:hAnsi="Arial Narrow"/>
          <w:sz w:val="22"/>
        </w:rPr>
        <w:t>, odst. 2)</w:t>
      </w:r>
      <w:r w:rsidR="00715F32" w:rsidRPr="00EF20A6">
        <w:rPr>
          <w:rFonts w:ascii="Arial Narrow" w:hAnsi="Arial Narrow"/>
          <w:sz w:val="22"/>
        </w:rPr>
        <w:t xml:space="preserve"> a odst. </w:t>
      </w:r>
      <w:r w:rsidR="00FF2697" w:rsidRPr="00EF20A6">
        <w:rPr>
          <w:rFonts w:ascii="Arial Narrow" w:hAnsi="Arial Narrow"/>
          <w:sz w:val="22"/>
        </w:rPr>
        <w:t>3</w:t>
      </w:r>
      <w:r w:rsidR="00715F32" w:rsidRPr="00EF20A6">
        <w:rPr>
          <w:rFonts w:ascii="Arial Narrow" w:hAnsi="Arial Narrow"/>
          <w:sz w:val="22"/>
        </w:rPr>
        <w:t>)</w:t>
      </w:r>
      <w:r w:rsidRPr="00EF20A6">
        <w:rPr>
          <w:rFonts w:ascii="Arial Narrow" w:hAnsi="Arial Narrow"/>
          <w:sz w:val="22"/>
        </w:rPr>
        <w:t>, je nutné</w:t>
      </w:r>
      <w:r w:rsidRPr="00FF2697">
        <w:rPr>
          <w:rFonts w:ascii="Arial Narrow" w:hAnsi="Arial Narrow"/>
          <w:sz w:val="22"/>
        </w:rPr>
        <w:t xml:space="preserve"> prokazovat, jako doklad lze použít lístek vytištěný parkovacím automatem, který je řidič povinen viditelně umístit za</w:t>
      </w:r>
      <w:r w:rsidR="00FF2697">
        <w:rPr>
          <w:rFonts w:ascii="Arial Narrow" w:hAnsi="Arial Narrow"/>
          <w:sz w:val="22"/>
        </w:rPr>
        <w:t> </w:t>
      </w:r>
      <w:r w:rsidRPr="00FF2697">
        <w:rPr>
          <w:rFonts w:ascii="Arial Narrow" w:hAnsi="Arial Narrow"/>
          <w:sz w:val="22"/>
        </w:rPr>
        <w:t>přední sklo motorového vozidla tak, aby umožnil vizuální kontrolu všech údajů na parkovacím lístku.</w:t>
      </w:r>
      <w:r w:rsidR="004F0D1F" w:rsidRPr="00FF2697">
        <w:rPr>
          <w:rFonts w:ascii="Arial Narrow" w:hAnsi="Arial Narrow"/>
          <w:sz w:val="22"/>
        </w:rPr>
        <w:t xml:space="preserve"> </w:t>
      </w:r>
    </w:p>
    <w:p w14:paraId="3F7144F8" w14:textId="08550060" w:rsidR="00235D71" w:rsidRPr="00235D71" w:rsidRDefault="00235D71" w:rsidP="00235D71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Úhradu lze provést rovněž zakoupením parkovací karty na </w:t>
      </w:r>
      <w:proofErr w:type="spellStart"/>
      <w:r>
        <w:rPr>
          <w:rFonts w:ascii="Arial Narrow" w:hAnsi="Arial Narrow"/>
          <w:sz w:val="22"/>
        </w:rPr>
        <w:t>MěÚ</w:t>
      </w:r>
      <w:proofErr w:type="spellEnd"/>
      <w:r>
        <w:rPr>
          <w:rFonts w:ascii="Arial Narrow" w:hAnsi="Arial Narrow"/>
          <w:sz w:val="22"/>
        </w:rPr>
        <w:t xml:space="preserve"> Lázně Bohdaneč. </w:t>
      </w:r>
      <w:r>
        <w:rPr>
          <w:rFonts w:ascii="Arial Narrow" w:hAnsi="Arial Narrow"/>
          <w:sz w:val="22"/>
          <w:lang w:bidi="cs-CZ"/>
        </w:rPr>
        <w:t>P</w:t>
      </w:r>
      <w:r w:rsidRPr="00235D71">
        <w:rPr>
          <w:rFonts w:ascii="Arial Narrow" w:hAnsi="Arial Narrow"/>
          <w:sz w:val="22"/>
          <w:lang w:bidi="cs-CZ"/>
        </w:rPr>
        <w:t>arkovací kart</w:t>
      </w:r>
      <w:r>
        <w:rPr>
          <w:rFonts w:ascii="Arial Narrow" w:hAnsi="Arial Narrow"/>
          <w:sz w:val="22"/>
          <w:lang w:bidi="cs-CZ"/>
        </w:rPr>
        <w:t>u</w:t>
      </w:r>
      <w:r w:rsidRPr="00235D71">
        <w:rPr>
          <w:rFonts w:ascii="Arial Narrow" w:hAnsi="Arial Narrow"/>
          <w:sz w:val="22"/>
          <w:lang w:bidi="cs-CZ"/>
        </w:rPr>
        <w:t xml:space="preserve"> </w:t>
      </w:r>
      <w:r>
        <w:rPr>
          <w:rFonts w:ascii="Arial Narrow" w:hAnsi="Arial Narrow"/>
          <w:sz w:val="22"/>
          <w:lang w:bidi="cs-CZ"/>
        </w:rPr>
        <w:t xml:space="preserve">je třeba umístit </w:t>
      </w:r>
      <w:r w:rsidRPr="00235D71">
        <w:rPr>
          <w:rFonts w:ascii="Arial Narrow" w:hAnsi="Arial Narrow"/>
          <w:sz w:val="22"/>
          <w:lang w:bidi="cs-CZ"/>
        </w:rPr>
        <w:t>po celou dobu stání vozidla na viditelném místě za čelním sklem vozidla tak, aby byly veškeré údaje na parkovací kartě čitelné při pohledu z vnějšku vozidla</w:t>
      </w:r>
      <w:r>
        <w:rPr>
          <w:rFonts w:ascii="Arial Narrow" w:hAnsi="Arial Narrow"/>
          <w:sz w:val="22"/>
          <w:lang w:bidi="cs-CZ"/>
        </w:rPr>
        <w:t>.</w:t>
      </w:r>
    </w:p>
    <w:p w14:paraId="21B70310" w14:textId="13E89B2C" w:rsidR="00E325FC" w:rsidRPr="00FF2697" w:rsidRDefault="00E325FC" w:rsidP="004F0D1F">
      <w:pPr>
        <w:numPr>
          <w:ilvl w:val="0"/>
          <w:numId w:val="17"/>
        </w:numPr>
        <w:spacing w:after="1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Ceny parkovného</w:t>
      </w:r>
      <w:r w:rsidR="00235D71">
        <w:rPr>
          <w:rFonts w:ascii="Arial Narrow" w:hAnsi="Arial Narrow"/>
          <w:sz w:val="22"/>
        </w:rPr>
        <w:t xml:space="preserve"> a parkovací karty, včetně bližších podmínek jejího vydávání</w:t>
      </w:r>
      <w:r>
        <w:rPr>
          <w:rFonts w:ascii="Arial Narrow" w:hAnsi="Arial Narrow"/>
          <w:sz w:val="22"/>
        </w:rPr>
        <w:t xml:space="preserve"> jsou uvedeny v příloze tohoto nařízení.</w:t>
      </w:r>
    </w:p>
    <w:p w14:paraId="04FD4546" w14:textId="77777777" w:rsidR="004F0D1F" w:rsidRPr="00AA5C5B" w:rsidRDefault="004F0D1F" w:rsidP="00E65226">
      <w:pPr>
        <w:jc w:val="both"/>
        <w:rPr>
          <w:rFonts w:ascii="Arial Narrow" w:hAnsi="Arial Narrow"/>
          <w:color w:val="0070C0"/>
          <w:sz w:val="22"/>
          <w:szCs w:val="22"/>
        </w:rPr>
      </w:pPr>
    </w:p>
    <w:p w14:paraId="03573459" w14:textId="77777777" w:rsidR="00E65226" w:rsidRPr="00FF2697" w:rsidRDefault="00E65226" w:rsidP="00D32E1F">
      <w:pPr>
        <w:pStyle w:val="Nadpis1"/>
        <w:spacing w:after="120"/>
        <w:ind w:left="0"/>
        <w:jc w:val="center"/>
        <w:rPr>
          <w:sz w:val="22"/>
          <w:szCs w:val="22"/>
        </w:rPr>
      </w:pPr>
      <w:r w:rsidRPr="00FF2697">
        <w:rPr>
          <w:sz w:val="22"/>
          <w:szCs w:val="22"/>
        </w:rPr>
        <w:lastRenderedPageBreak/>
        <w:t>I</w:t>
      </w:r>
      <w:r w:rsidR="001F4185" w:rsidRPr="00FF2697">
        <w:rPr>
          <w:sz w:val="22"/>
          <w:szCs w:val="22"/>
        </w:rPr>
        <w:t>V</w:t>
      </w:r>
      <w:r w:rsidRPr="00FF2697">
        <w:rPr>
          <w:sz w:val="22"/>
          <w:szCs w:val="22"/>
        </w:rPr>
        <w:t>.</w:t>
      </w:r>
      <w:r w:rsidR="00FF2697" w:rsidRPr="00FF2697">
        <w:rPr>
          <w:sz w:val="22"/>
          <w:szCs w:val="22"/>
        </w:rPr>
        <w:t xml:space="preserve"> </w:t>
      </w:r>
      <w:r w:rsidRPr="00FF2697">
        <w:rPr>
          <w:sz w:val="22"/>
          <w:szCs w:val="22"/>
        </w:rPr>
        <w:t>Zrušení nařízení</w:t>
      </w:r>
    </w:p>
    <w:p w14:paraId="437FEA5C" w14:textId="051993CD" w:rsidR="00E65226" w:rsidRPr="002379D1" w:rsidRDefault="00F27EC4" w:rsidP="001F4185">
      <w:pPr>
        <w:pStyle w:val="Nadpis1"/>
        <w:spacing w:after="120"/>
        <w:ind w:left="0"/>
        <w:jc w:val="both"/>
        <w:rPr>
          <w:b w:val="0"/>
          <w:sz w:val="22"/>
          <w:szCs w:val="22"/>
        </w:rPr>
      </w:pPr>
      <w:r w:rsidRPr="002379D1">
        <w:rPr>
          <w:b w:val="0"/>
          <w:sz w:val="22"/>
          <w:szCs w:val="22"/>
        </w:rPr>
        <w:t>Toto nařízení nabývá účinnosti</w:t>
      </w:r>
      <w:r w:rsidR="00B668FA">
        <w:rPr>
          <w:b w:val="0"/>
          <w:sz w:val="22"/>
          <w:szCs w:val="22"/>
        </w:rPr>
        <w:t xml:space="preserve"> počátkem</w:t>
      </w:r>
      <w:r w:rsidRPr="002379D1">
        <w:rPr>
          <w:b w:val="0"/>
          <w:sz w:val="22"/>
          <w:szCs w:val="22"/>
        </w:rPr>
        <w:t xml:space="preserve"> </w:t>
      </w:r>
      <w:r w:rsidR="009725F4" w:rsidRPr="002379D1">
        <w:rPr>
          <w:b w:val="0"/>
          <w:sz w:val="22"/>
          <w:szCs w:val="22"/>
        </w:rPr>
        <w:t xml:space="preserve">15. dne </w:t>
      </w:r>
      <w:r w:rsidR="00B668FA">
        <w:rPr>
          <w:b w:val="0"/>
          <w:sz w:val="22"/>
          <w:szCs w:val="22"/>
        </w:rPr>
        <w:t xml:space="preserve">následujícího </w:t>
      </w:r>
      <w:r w:rsidR="009725F4" w:rsidRPr="002379D1">
        <w:rPr>
          <w:b w:val="0"/>
          <w:sz w:val="22"/>
          <w:szCs w:val="22"/>
        </w:rPr>
        <w:t>po jeho vyhlášení</w:t>
      </w:r>
      <w:r w:rsidRPr="002379D1">
        <w:rPr>
          <w:b w:val="0"/>
          <w:sz w:val="22"/>
          <w:szCs w:val="22"/>
        </w:rPr>
        <w:t xml:space="preserve"> </w:t>
      </w:r>
      <w:r w:rsidR="004178E5">
        <w:rPr>
          <w:b w:val="0"/>
          <w:sz w:val="22"/>
          <w:szCs w:val="22"/>
        </w:rPr>
        <w:t xml:space="preserve">ve Sbírce právních předpisů ÚSC a některých správních úřadů </w:t>
      </w:r>
      <w:r w:rsidRPr="002379D1">
        <w:rPr>
          <w:b w:val="0"/>
          <w:sz w:val="22"/>
          <w:szCs w:val="22"/>
        </w:rPr>
        <w:t xml:space="preserve">a </w:t>
      </w:r>
      <w:r w:rsidR="00E65226" w:rsidRPr="002379D1">
        <w:rPr>
          <w:b w:val="0"/>
          <w:sz w:val="22"/>
          <w:szCs w:val="22"/>
        </w:rPr>
        <w:t xml:space="preserve">zrušuje Nařízení </w:t>
      </w:r>
      <w:r w:rsidR="001D7C1D" w:rsidRPr="002379D1">
        <w:rPr>
          <w:b w:val="0"/>
          <w:sz w:val="22"/>
          <w:szCs w:val="22"/>
        </w:rPr>
        <w:t>M</w:t>
      </w:r>
      <w:r w:rsidR="00E65226" w:rsidRPr="002379D1">
        <w:rPr>
          <w:b w:val="0"/>
          <w:sz w:val="22"/>
          <w:szCs w:val="22"/>
        </w:rPr>
        <w:t xml:space="preserve">ěsta Lázně </w:t>
      </w:r>
      <w:r w:rsidR="00E65226" w:rsidRPr="00EF20A6">
        <w:rPr>
          <w:b w:val="0"/>
          <w:sz w:val="22"/>
          <w:szCs w:val="22"/>
        </w:rPr>
        <w:t>Bohdaneč č.</w:t>
      </w:r>
      <w:r w:rsidR="004178E5" w:rsidRPr="00291599">
        <w:rPr>
          <w:b w:val="0"/>
          <w:sz w:val="22"/>
          <w:szCs w:val="22"/>
        </w:rPr>
        <w:t xml:space="preserve"> </w:t>
      </w:r>
      <w:r w:rsidR="00986407">
        <w:rPr>
          <w:b w:val="0"/>
          <w:sz w:val="22"/>
          <w:szCs w:val="22"/>
        </w:rPr>
        <w:t>2/2025</w:t>
      </w:r>
      <w:r w:rsidR="00D32E1F" w:rsidRPr="00EF20A6">
        <w:rPr>
          <w:b w:val="0"/>
          <w:sz w:val="22"/>
          <w:szCs w:val="22"/>
        </w:rPr>
        <w:t>,</w:t>
      </w:r>
      <w:r w:rsidR="001F4185" w:rsidRPr="002379D1">
        <w:rPr>
          <w:b w:val="0"/>
          <w:sz w:val="22"/>
          <w:szCs w:val="22"/>
        </w:rPr>
        <w:t xml:space="preserve"> o placeném stání na místních komunikacích</w:t>
      </w:r>
      <w:r w:rsidR="00E65226" w:rsidRPr="002379D1">
        <w:rPr>
          <w:b w:val="0"/>
          <w:sz w:val="22"/>
          <w:szCs w:val="22"/>
        </w:rPr>
        <w:t>.</w:t>
      </w:r>
    </w:p>
    <w:p w14:paraId="1D4EB5D3" w14:textId="77777777" w:rsidR="002379D1" w:rsidRPr="002379D1" w:rsidRDefault="002379D1" w:rsidP="002379D1"/>
    <w:p w14:paraId="6FA2106E" w14:textId="77777777" w:rsidR="00E65226" w:rsidRPr="00AA5C5B" w:rsidRDefault="00E65226" w:rsidP="00E65226">
      <w:pPr>
        <w:pStyle w:val="Nadpis1"/>
        <w:ind w:left="0"/>
        <w:jc w:val="center"/>
        <w:rPr>
          <w:color w:val="0070C0"/>
          <w:sz w:val="22"/>
          <w:szCs w:val="22"/>
        </w:rPr>
      </w:pPr>
    </w:p>
    <w:p w14:paraId="375D2F51" w14:textId="77777777" w:rsidR="00E65226" w:rsidRDefault="00E65226" w:rsidP="00E65226">
      <w:pPr>
        <w:rPr>
          <w:rFonts w:ascii="Arial Narrow" w:hAnsi="Arial Narrow"/>
          <w:color w:val="0070C0"/>
          <w:sz w:val="22"/>
          <w:szCs w:val="22"/>
        </w:rPr>
      </w:pPr>
    </w:p>
    <w:p w14:paraId="78C864BA" w14:textId="77777777" w:rsidR="00986407" w:rsidRPr="00AA5C5B" w:rsidRDefault="00986407" w:rsidP="00E65226">
      <w:pPr>
        <w:rPr>
          <w:rFonts w:ascii="Arial Narrow" w:hAnsi="Arial Narrow"/>
          <w:color w:val="0070C0"/>
          <w:sz w:val="22"/>
          <w:szCs w:val="22"/>
        </w:rPr>
      </w:pPr>
    </w:p>
    <w:p w14:paraId="0CED0AE0" w14:textId="77777777" w:rsidR="00E65226" w:rsidRPr="002379D1" w:rsidRDefault="00E65226" w:rsidP="00E65226">
      <w:pPr>
        <w:tabs>
          <w:tab w:val="center" w:pos="1985"/>
          <w:tab w:val="center" w:pos="7371"/>
        </w:tabs>
        <w:rPr>
          <w:rFonts w:ascii="Arial Narrow" w:hAnsi="Arial Narrow"/>
          <w:sz w:val="22"/>
          <w:szCs w:val="22"/>
        </w:rPr>
      </w:pPr>
      <w:r w:rsidRPr="00AA5C5B">
        <w:rPr>
          <w:rFonts w:ascii="Arial Narrow" w:hAnsi="Arial Narrow"/>
          <w:color w:val="0070C0"/>
          <w:sz w:val="22"/>
          <w:szCs w:val="22"/>
        </w:rPr>
        <w:t xml:space="preserve">  </w:t>
      </w:r>
      <w:r w:rsidRPr="00AA5C5B">
        <w:rPr>
          <w:rFonts w:ascii="Arial Narrow" w:hAnsi="Arial Narrow"/>
          <w:color w:val="0070C0"/>
          <w:sz w:val="22"/>
          <w:szCs w:val="22"/>
        </w:rPr>
        <w:tab/>
      </w:r>
      <w:r w:rsidRPr="002379D1">
        <w:rPr>
          <w:rFonts w:ascii="Arial Narrow" w:hAnsi="Arial Narrow"/>
          <w:sz w:val="22"/>
          <w:szCs w:val="22"/>
        </w:rPr>
        <w:t xml:space="preserve">…………………………......         </w:t>
      </w:r>
      <w:r w:rsidRPr="002379D1">
        <w:rPr>
          <w:rFonts w:ascii="Arial Narrow" w:hAnsi="Arial Narrow"/>
          <w:sz w:val="22"/>
          <w:szCs w:val="22"/>
        </w:rPr>
        <w:tab/>
        <w:t>………………………….....</w:t>
      </w:r>
    </w:p>
    <w:p w14:paraId="7CC6DBAF" w14:textId="77777777" w:rsidR="00E65226" w:rsidRPr="002379D1" w:rsidRDefault="00E65226" w:rsidP="00E65226">
      <w:pPr>
        <w:tabs>
          <w:tab w:val="center" w:pos="1985"/>
          <w:tab w:val="center" w:pos="7371"/>
        </w:tabs>
        <w:rPr>
          <w:rFonts w:ascii="Arial Narrow" w:hAnsi="Arial Narrow"/>
          <w:sz w:val="22"/>
          <w:szCs w:val="22"/>
        </w:rPr>
      </w:pPr>
      <w:r w:rsidRPr="002379D1">
        <w:rPr>
          <w:rFonts w:ascii="Arial Narrow" w:hAnsi="Arial Narrow"/>
          <w:sz w:val="22"/>
          <w:szCs w:val="22"/>
        </w:rPr>
        <w:tab/>
        <w:t xml:space="preserve">Ing. </w:t>
      </w:r>
      <w:r w:rsidR="002379D1" w:rsidRPr="002379D1">
        <w:rPr>
          <w:rFonts w:ascii="Arial Narrow" w:hAnsi="Arial Narrow"/>
          <w:sz w:val="22"/>
          <w:szCs w:val="22"/>
        </w:rPr>
        <w:t>Josef Štěpanovský</w:t>
      </w:r>
      <w:r w:rsidRPr="002379D1">
        <w:rPr>
          <w:rFonts w:ascii="Arial Narrow" w:hAnsi="Arial Narrow"/>
          <w:sz w:val="22"/>
          <w:szCs w:val="22"/>
        </w:rPr>
        <w:t xml:space="preserve">       </w:t>
      </w:r>
      <w:r w:rsidRPr="002379D1">
        <w:rPr>
          <w:rFonts w:ascii="Arial Narrow" w:hAnsi="Arial Narrow"/>
          <w:sz w:val="22"/>
          <w:szCs w:val="22"/>
        </w:rPr>
        <w:tab/>
        <w:t xml:space="preserve">Ing. </w:t>
      </w:r>
      <w:r w:rsidR="002379D1" w:rsidRPr="002379D1">
        <w:rPr>
          <w:rFonts w:ascii="Arial Narrow" w:hAnsi="Arial Narrow"/>
          <w:sz w:val="22"/>
          <w:szCs w:val="22"/>
        </w:rPr>
        <w:t>Tereza Novotná</w:t>
      </w:r>
      <w:r w:rsidRPr="002379D1">
        <w:rPr>
          <w:rFonts w:ascii="Arial Narrow" w:hAnsi="Arial Narrow"/>
          <w:sz w:val="22"/>
          <w:szCs w:val="22"/>
        </w:rPr>
        <w:t xml:space="preserve"> </w:t>
      </w:r>
    </w:p>
    <w:p w14:paraId="73E6BE22" w14:textId="77777777" w:rsidR="00E65226" w:rsidRPr="002379D1" w:rsidRDefault="00E65226" w:rsidP="00E65226">
      <w:pPr>
        <w:tabs>
          <w:tab w:val="center" w:pos="1985"/>
          <w:tab w:val="center" w:pos="7371"/>
        </w:tabs>
        <w:rPr>
          <w:rFonts w:ascii="Arial Narrow" w:hAnsi="Arial Narrow"/>
          <w:sz w:val="22"/>
          <w:szCs w:val="22"/>
        </w:rPr>
      </w:pPr>
      <w:r w:rsidRPr="002379D1">
        <w:rPr>
          <w:rFonts w:ascii="Arial Narrow" w:hAnsi="Arial Narrow"/>
          <w:sz w:val="22"/>
          <w:szCs w:val="22"/>
        </w:rPr>
        <w:tab/>
        <w:t xml:space="preserve">starosta                    </w:t>
      </w:r>
      <w:r w:rsidRPr="002379D1">
        <w:rPr>
          <w:rFonts w:ascii="Arial Narrow" w:hAnsi="Arial Narrow"/>
          <w:sz w:val="22"/>
          <w:szCs w:val="22"/>
        </w:rPr>
        <w:tab/>
        <w:t>místostarost</w:t>
      </w:r>
      <w:r w:rsidR="002379D1" w:rsidRPr="002379D1">
        <w:rPr>
          <w:rFonts w:ascii="Arial Narrow" w:hAnsi="Arial Narrow"/>
          <w:sz w:val="22"/>
          <w:szCs w:val="22"/>
        </w:rPr>
        <w:t>k</w:t>
      </w:r>
      <w:r w:rsidRPr="002379D1">
        <w:rPr>
          <w:rFonts w:ascii="Arial Narrow" w:hAnsi="Arial Narrow"/>
          <w:sz w:val="22"/>
          <w:szCs w:val="22"/>
        </w:rPr>
        <w:t>a</w:t>
      </w:r>
    </w:p>
    <w:p w14:paraId="76191E67" w14:textId="77777777" w:rsidR="00E65226" w:rsidRPr="002379D1" w:rsidRDefault="00E65226" w:rsidP="00E65226">
      <w:pPr>
        <w:rPr>
          <w:rFonts w:ascii="Arial Narrow" w:hAnsi="Arial Narrow"/>
          <w:sz w:val="22"/>
          <w:szCs w:val="22"/>
        </w:rPr>
      </w:pPr>
    </w:p>
    <w:p w14:paraId="3CB03F98" w14:textId="77777777" w:rsidR="00D5325C" w:rsidRDefault="00D5325C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6AB8A229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3F22EA21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017B8C04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39DE4456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096881B8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3B7D1D11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6E434B93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5B4871AA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20C36755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10189C1A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1D031858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449C47BB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429B1B55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35FB9829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4A3E1639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288E941D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00C6A30C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77279AEF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6AADFFE4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74533BFF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64AE0FAD" w14:textId="77777777" w:rsidR="00986407" w:rsidRPr="00AA5C5B" w:rsidRDefault="00986407" w:rsidP="00E65226">
      <w:pPr>
        <w:tabs>
          <w:tab w:val="right" w:pos="2268"/>
        </w:tabs>
        <w:rPr>
          <w:rFonts w:ascii="Arial Narrow" w:hAnsi="Arial Narrow"/>
          <w:b/>
          <w:color w:val="0070C0"/>
          <w:sz w:val="22"/>
          <w:szCs w:val="22"/>
        </w:rPr>
      </w:pPr>
    </w:p>
    <w:p w14:paraId="50846C88" w14:textId="77777777" w:rsidR="00D32E1F" w:rsidRDefault="00D32E1F" w:rsidP="00E65226">
      <w:pPr>
        <w:tabs>
          <w:tab w:val="right" w:pos="2268"/>
        </w:tabs>
        <w:rPr>
          <w:rFonts w:ascii="Arial Narrow" w:hAnsi="Arial Narrow"/>
          <w:bCs/>
          <w:sz w:val="22"/>
          <w:szCs w:val="22"/>
        </w:rPr>
      </w:pPr>
    </w:p>
    <w:p w14:paraId="5B7502C2" w14:textId="5F8FF66D" w:rsidR="00986407" w:rsidRDefault="00986407" w:rsidP="00E65226">
      <w:pPr>
        <w:tabs>
          <w:tab w:val="right" w:pos="2268"/>
        </w:tabs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Portál sbírek vyhlášeno dne 19.3.2026</w:t>
      </w:r>
    </w:p>
    <w:p w14:paraId="61C86231" w14:textId="77777777" w:rsidR="00986407" w:rsidRDefault="00986407" w:rsidP="00E65226">
      <w:pPr>
        <w:tabs>
          <w:tab w:val="right" w:pos="2268"/>
        </w:tabs>
        <w:rPr>
          <w:rFonts w:ascii="Arial Narrow" w:hAnsi="Arial Narrow"/>
          <w:bCs/>
          <w:sz w:val="22"/>
          <w:szCs w:val="22"/>
        </w:rPr>
      </w:pPr>
    </w:p>
    <w:p w14:paraId="03446DBC" w14:textId="2B7794A4" w:rsidR="00E65226" w:rsidRPr="00AA5C5B" w:rsidRDefault="00E65226" w:rsidP="00E65226">
      <w:pPr>
        <w:tabs>
          <w:tab w:val="right" w:pos="2268"/>
        </w:tabs>
        <w:rPr>
          <w:rFonts w:ascii="Arial Narrow" w:hAnsi="Arial Narrow"/>
          <w:bCs/>
          <w:color w:val="0070C0"/>
          <w:sz w:val="22"/>
          <w:szCs w:val="22"/>
        </w:rPr>
      </w:pPr>
      <w:r w:rsidRPr="002379D1">
        <w:rPr>
          <w:rFonts w:ascii="Arial Narrow" w:hAnsi="Arial Narrow"/>
          <w:bCs/>
          <w:sz w:val="22"/>
          <w:szCs w:val="22"/>
        </w:rPr>
        <w:t>Vyvěšeno</w:t>
      </w:r>
      <w:r w:rsidR="00F27EC4" w:rsidRPr="002379D1">
        <w:rPr>
          <w:rFonts w:ascii="Arial Narrow" w:hAnsi="Arial Narrow"/>
          <w:bCs/>
          <w:sz w:val="22"/>
          <w:szCs w:val="22"/>
        </w:rPr>
        <w:t xml:space="preserve"> na elektronické úřední desce</w:t>
      </w:r>
      <w:r w:rsidRPr="002379D1">
        <w:rPr>
          <w:rFonts w:ascii="Arial Narrow" w:hAnsi="Arial Narrow"/>
          <w:bCs/>
          <w:sz w:val="22"/>
          <w:szCs w:val="22"/>
        </w:rPr>
        <w:t>:</w:t>
      </w:r>
      <w:r w:rsidR="00D5325C" w:rsidRPr="00AA5C5B">
        <w:rPr>
          <w:rFonts w:ascii="Arial Narrow" w:hAnsi="Arial Narrow"/>
          <w:bCs/>
          <w:color w:val="0070C0"/>
          <w:sz w:val="22"/>
          <w:szCs w:val="22"/>
        </w:rPr>
        <w:t xml:space="preserve">  </w:t>
      </w:r>
    </w:p>
    <w:p w14:paraId="73326DFB" w14:textId="77777777" w:rsidR="00D32E1F" w:rsidRDefault="00D32E1F" w:rsidP="00E65226">
      <w:pPr>
        <w:tabs>
          <w:tab w:val="right" w:pos="2268"/>
        </w:tabs>
        <w:rPr>
          <w:rFonts w:ascii="Arial Narrow" w:hAnsi="Arial Narrow"/>
          <w:bCs/>
          <w:sz w:val="22"/>
          <w:szCs w:val="22"/>
        </w:rPr>
      </w:pPr>
    </w:p>
    <w:p w14:paraId="70B22839" w14:textId="77777777" w:rsidR="00E65226" w:rsidRPr="00AA5C5B" w:rsidRDefault="00E65226" w:rsidP="00E65226">
      <w:pPr>
        <w:tabs>
          <w:tab w:val="right" w:pos="2268"/>
        </w:tabs>
        <w:rPr>
          <w:rFonts w:ascii="Arial Narrow" w:hAnsi="Arial Narrow"/>
          <w:bCs/>
          <w:color w:val="0070C0"/>
          <w:sz w:val="22"/>
          <w:szCs w:val="22"/>
        </w:rPr>
      </w:pPr>
      <w:r w:rsidRPr="002379D1">
        <w:rPr>
          <w:rFonts w:ascii="Arial Narrow" w:hAnsi="Arial Narrow"/>
          <w:bCs/>
          <w:sz w:val="22"/>
          <w:szCs w:val="22"/>
        </w:rPr>
        <w:t>Sejmuto:</w:t>
      </w:r>
      <w:r w:rsidR="00D5325C" w:rsidRPr="00AA5C5B">
        <w:rPr>
          <w:rFonts w:ascii="Arial Narrow" w:hAnsi="Arial Narrow"/>
          <w:bCs/>
          <w:color w:val="0070C0"/>
          <w:sz w:val="22"/>
          <w:szCs w:val="22"/>
        </w:rPr>
        <w:t xml:space="preserve"> </w:t>
      </w:r>
      <w:r w:rsidRPr="00AA5C5B">
        <w:rPr>
          <w:rFonts w:ascii="Arial Narrow" w:hAnsi="Arial Narrow"/>
          <w:bCs/>
          <w:color w:val="0070C0"/>
          <w:sz w:val="22"/>
          <w:szCs w:val="22"/>
        </w:rPr>
        <w:tab/>
      </w:r>
    </w:p>
    <w:sectPr w:rsidR="00E65226" w:rsidRPr="00AA5C5B" w:rsidSect="00715F3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3F5B"/>
    <w:multiLevelType w:val="hybridMultilevel"/>
    <w:tmpl w:val="71CCFAB6"/>
    <w:lvl w:ilvl="0" w:tplc="AF8AE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620AF"/>
    <w:multiLevelType w:val="multilevel"/>
    <w:tmpl w:val="C362F7BC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1721C"/>
    <w:multiLevelType w:val="hybridMultilevel"/>
    <w:tmpl w:val="ED186FB4"/>
    <w:lvl w:ilvl="0" w:tplc="64849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0785"/>
    <w:multiLevelType w:val="hybridMultilevel"/>
    <w:tmpl w:val="AA8669A2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453205"/>
    <w:multiLevelType w:val="hybridMultilevel"/>
    <w:tmpl w:val="EF2E3940"/>
    <w:lvl w:ilvl="0" w:tplc="F9328D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84FC9"/>
    <w:multiLevelType w:val="hybridMultilevel"/>
    <w:tmpl w:val="D89E9E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A505B"/>
    <w:multiLevelType w:val="hybridMultilevel"/>
    <w:tmpl w:val="E2AC60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D04528"/>
    <w:multiLevelType w:val="hybridMultilevel"/>
    <w:tmpl w:val="6F801B60"/>
    <w:lvl w:ilvl="0" w:tplc="FC6A2F7E">
      <w:start w:val="3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90622"/>
    <w:multiLevelType w:val="hybridMultilevel"/>
    <w:tmpl w:val="C33098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EC5849"/>
    <w:multiLevelType w:val="hybridMultilevel"/>
    <w:tmpl w:val="B12A1C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A3324"/>
    <w:multiLevelType w:val="hybridMultilevel"/>
    <w:tmpl w:val="B3880CA8"/>
    <w:lvl w:ilvl="0" w:tplc="AFEA5B4A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1" w15:restartNumberingAfterBreak="0">
    <w:nsid w:val="59671D8B"/>
    <w:multiLevelType w:val="hybridMultilevel"/>
    <w:tmpl w:val="3ACC1132"/>
    <w:lvl w:ilvl="0" w:tplc="F356EB3E">
      <w:start w:val="3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131DA"/>
    <w:multiLevelType w:val="hybridMultilevel"/>
    <w:tmpl w:val="6D0CDA42"/>
    <w:lvl w:ilvl="0" w:tplc="B0A2DBA0">
      <w:start w:val="7"/>
      <w:numFmt w:val="bullet"/>
      <w:lvlText w:val="-"/>
      <w:lvlJc w:val="left"/>
      <w:pPr>
        <w:tabs>
          <w:tab w:val="num" w:pos="284"/>
        </w:tabs>
        <w:ind w:left="1135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B9E1158"/>
    <w:multiLevelType w:val="hybridMultilevel"/>
    <w:tmpl w:val="5D04EE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877A8E"/>
    <w:multiLevelType w:val="hybridMultilevel"/>
    <w:tmpl w:val="340C12EA"/>
    <w:lvl w:ilvl="0" w:tplc="E022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4377D"/>
    <w:multiLevelType w:val="hybridMultilevel"/>
    <w:tmpl w:val="00E479B0"/>
    <w:lvl w:ilvl="0" w:tplc="B0A2DBA0">
      <w:start w:val="7"/>
      <w:numFmt w:val="bullet"/>
      <w:lvlText w:val="-"/>
      <w:lvlJc w:val="left"/>
      <w:pPr>
        <w:tabs>
          <w:tab w:val="num" w:pos="284"/>
        </w:tabs>
        <w:ind w:left="1135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1B90782"/>
    <w:multiLevelType w:val="hybridMultilevel"/>
    <w:tmpl w:val="3EEEC0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7B5ED2"/>
    <w:multiLevelType w:val="multilevel"/>
    <w:tmpl w:val="E4E2346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DD0E6B"/>
    <w:multiLevelType w:val="hybridMultilevel"/>
    <w:tmpl w:val="D6DC3292"/>
    <w:lvl w:ilvl="0" w:tplc="783CFCB0">
      <w:start w:val="1"/>
      <w:numFmt w:val="upperLetter"/>
      <w:lvlText w:val="%1)"/>
      <w:lvlJc w:val="left"/>
      <w:pPr>
        <w:tabs>
          <w:tab w:val="num" w:pos="340"/>
        </w:tabs>
        <w:ind w:left="340" w:hanging="340"/>
      </w:pPr>
      <w:rPr>
        <w:rFonts w:ascii="Arial Narrow" w:eastAsia="Times New Roman" w:hAnsi="Arial Narrow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9417208">
    <w:abstractNumId w:val="16"/>
  </w:num>
  <w:num w:numId="2" w16cid:durableId="1687709502">
    <w:abstractNumId w:val="5"/>
  </w:num>
  <w:num w:numId="3" w16cid:durableId="1931967869">
    <w:abstractNumId w:val="6"/>
  </w:num>
  <w:num w:numId="4" w16cid:durableId="1837380273">
    <w:abstractNumId w:val="8"/>
  </w:num>
  <w:num w:numId="5" w16cid:durableId="1533108635">
    <w:abstractNumId w:val="9"/>
  </w:num>
  <w:num w:numId="6" w16cid:durableId="1286276776">
    <w:abstractNumId w:val="13"/>
  </w:num>
  <w:num w:numId="7" w16cid:durableId="505676385">
    <w:abstractNumId w:val="4"/>
  </w:num>
  <w:num w:numId="8" w16cid:durableId="1909994733">
    <w:abstractNumId w:val="17"/>
  </w:num>
  <w:num w:numId="9" w16cid:durableId="820191390">
    <w:abstractNumId w:val="0"/>
  </w:num>
  <w:num w:numId="10" w16cid:durableId="2018921132">
    <w:abstractNumId w:val="12"/>
  </w:num>
  <w:num w:numId="11" w16cid:durableId="1540585877">
    <w:abstractNumId w:val="15"/>
  </w:num>
  <w:num w:numId="12" w16cid:durableId="611086397">
    <w:abstractNumId w:val="18"/>
  </w:num>
  <w:num w:numId="13" w16cid:durableId="578364841">
    <w:abstractNumId w:val="14"/>
  </w:num>
  <w:num w:numId="14" w16cid:durableId="156582924">
    <w:abstractNumId w:val="7"/>
  </w:num>
  <w:num w:numId="15" w16cid:durableId="1187133962">
    <w:abstractNumId w:val="11"/>
  </w:num>
  <w:num w:numId="16" w16cid:durableId="1229144204">
    <w:abstractNumId w:val="3"/>
  </w:num>
  <w:num w:numId="17" w16cid:durableId="1994286434">
    <w:abstractNumId w:val="1"/>
  </w:num>
  <w:num w:numId="18" w16cid:durableId="557671407">
    <w:abstractNumId w:val="10"/>
  </w:num>
  <w:num w:numId="19" w16cid:durableId="347173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56"/>
    <w:rsid w:val="000202C0"/>
    <w:rsid w:val="00043081"/>
    <w:rsid w:val="00047EE9"/>
    <w:rsid w:val="000816EF"/>
    <w:rsid w:val="00091D9B"/>
    <w:rsid w:val="000A2913"/>
    <w:rsid w:val="00113329"/>
    <w:rsid w:val="001D7C1D"/>
    <w:rsid w:val="001F4185"/>
    <w:rsid w:val="002308DC"/>
    <w:rsid w:val="00235D71"/>
    <w:rsid w:val="002379D1"/>
    <w:rsid w:val="002438C0"/>
    <w:rsid w:val="00255B55"/>
    <w:rsid w:val="0027365D"/>
    <w:rsid w:val="002829E1"/>
    <w:rsid w:val="00284B2B"/>
    <w:rsid w:val="00285F97"/>
    <w:rsid w:val="00291599"/>
    <w:rsid w:val="00296269"/>
    <w:rsid w:val="00297640"/>
    <w:rsid w:val="002B121A"/>
    <w:rsid w:val="002C2BCF"/>
    <w:rsid w:val="00326C19"/>
    <w:rsid w:val="00360CAB"/>
    <w:rsid w:val="00374D7C"/>
    <w:rsid w:val="00387B14"/>
    <w:rsid w:val="003A0CB2"/>
    <w:rsid w:val="003C4D81"/>
    <w:rsid w:val="004178E5"/>
    <w:rsid w:val="0042028D"/>
    <w:rsid w:val="00421262"/>
    <w:rsid w:val="00435CEE"/>
    <w:rsid w:val="00464D28"/>
    <w:rsid w:val="00480D5F"/>
    <w:rsid w:val="004919E0"/>
    <w:rsid w:val="004B15E9"/>
    <w:rsid w:val="004B2D1D"/>
    <w:rsid w:val="004C3215"/>
    <w:rsid w:val="004C72A4"/>
    <w:rsid w:val="004D0A87"/>
    <w:rsid w:val="004D4795"/>
    <w:rsid w:val="004F0D1F"/>
    <w:rsid w:val="0057513E"/>
    <w:rsid w:val="0059047A"/>
    <w:rsid w:val="00592947"/>
    <w:rsid w:val="005E210C"/>
    <w:rsid w:val="005F7567"/>
    <w:rsid w:val="00604B17"/>
    <w:rsid w:val="00627C34"/>
    <w:rsid w:val="00633C24"/>
    <w:rsid w:val="006561E6"/>
    <w:rsid w:val="00671F2F"/>
    <w:rsid w:val="00675FA9"/>
    <w:rsid w:val="0068766D"/>
    <w:rsid w:val="0069465B"/>
    <w:rsid w:val="006A37F7"/>
    <w:rsid w:val="006B5151"/>
    <w:rsid w:val="006B5362"/>
    <w:rsid w:val="006C19EC"/>
    <w:rsid w:val="00715F32"/>
    <w:rsid w:val="007238BF"/>
    <w:rsid w:val="00723DAA"/>
    <w:rsid w:val="00736089"/>
    <w:rsid w:val="007363B9"/>
    <w:rsid w:val="00757303"/>
    <w:rsid w:val="007823E9"/>
    <w:rsid w:val="0078671B"/>
    <w:rsid w:val="007C15BE"/>
    <w:rsid w:val="007C3334"/>
    <w:rsid w:val="007D2F85"/>
    <w:rsid w:val="007D4CFC"/>
    <w:rsid w:val="0082259F"/>
    <w:rsid w:val="00831E19"/>
    <w:rsid w:val="008D7A5A"/>
    <w:rsid w:val="00917ECB"/>
    <w:rsid w:val="009613B4"/>
    <w:rsid w:val="009725F4"/>
    <w:rsid w:val="00986407"/>
    <w:rsid w:val="009B5B3D"/>
    <w:rsid w:val="009F5521"/>
    <w:rsid w:val="00A12788"/>
    <w:rsid w:val="00A14B56"/>
    <w:rsid w:val="00A47229"/>
    <w:rsid w:val="00A800B9"/>
    <w:rsid w:val="00AA5C5B"/>
    <w:rsid w:val="00AB4D50"/>
    <w:rsid w:val="00AE4354"/>
    <w:rsid w:val="00AF68C7"/>
    <w:rsid w:val="00B14B77"/>
    <w:rsid w:val="00B157FB"/>
    <w:rsid w:val="00B668FA"/>
    <w:rsid w:val="00B81FAD"/>
    <w:rsid w:val="00B865E5"/>
    <w:rsid w:val="00B90A47"/>
    <w:rsid w:val="00BA56ED"/>
    <w:rsid w:val="00BE0701"/>
    <w:rsid w:val="00BF7980"/>
    <w:rsid w:val="00C1679B"/>
    <w:rsid w:val="00C40ACB"/>
    <w:rsid w:val="00C602A1"/>
    <w:rsid w:val="00C6714B"/>
    <w:rsid w:val="00C90CD8"/>
    <w:rsid w:val="00CA19D6"/>
    <w:rsid w:val="00CB0E4D"/>
    <w:rsid w:val="00D25B91"/>
    <w:rsid w:val="00D32E1F"/>
    <w:rsid w:val="00D42128"/>
    <w:rsid w:val="00D5325C"/>
    <w:rsid w:val="00D85BA0"/>
    <w:rsid w:val="00E325FC"/>
    <w:rsid w:val="00E45ECB"/>
    <w:rsid w:val="00E47310"/>
    <w:rsid w:val="00E6018B"/>
    <w:rsid w:val="00E65226"/>
    <w:rsid w:val="00E74FFA"/>
    <w:rsid w:val="00EF20A6"/>
    <w:rsid w:val="00F27EC4"/>
    <w:rsid w:val="00F33455"/>
    <w:rsid w:val="00F83EB1"/>
    <w:rsid w:val="00FB08C6"/>
    <w:rsid w:val="00FB67FF"/>
    <w:rsid w:val="00FE0CB6"/>
    <w:rsid w:val="00FE5DA4"/>
    <w:rsid w:val="00FF2697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98379"/>
  <w15:chartTrackingRefBased/>
  <w15:docId w15:val="{D69B57E4-F4A9-4D0B-BDDA-07618FFF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E4354"/>
    <w:pPr>
      <w:keepNext/>
      <w:spacing w:after="180" w:line="240" w:lineRule="atLeast"/>
      <w:ind w:left="454"/>
      <w:outlineLvl w:val="0"/>
    </w:pPr>
    <w:rPr>
      <w:rFonts w:ascii="Arial Narrow" w:hAnsi="Arial Narrow"/>
      <w:b/>
      <w:kern w:val="28"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E6522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F0D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6522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nitnadresa">
    <w:name w:val="Vnitřní adresa"/>
    <w:basedOn w:val="Normln"/>
    <w:rsid w:val="00A14B56"/>
    <w:pPr>
      <w:spacing w:line="240" w:lineRule="atLeast"/>
    </w:pPr>
    <w:rPr>
      <w:rFonts w:ascii="Arial Narrow" w:hAnsi="Arial Narrow"/>
      <w:b/>
      <w:kern w:val="18"/>
      <w:sz w:val="28"/>
      <w:szCs w:val="20"/>
    </w:rPr>
  </w:style>
  <w:style w:type="character" w:customStyle="1" w:styleId="Nadpis3Char">
    <w:name w:val="Nadpis 3 Char"/>
    <w:link w:val="Nadpis3"/>
    <w:semiHidden/>
    <w:rsid w:val="00E652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E6522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ulek">
    <w:name w:val="caption"/>
    <w:basedOn w:val="Normln"/>
    <w:next w:val="Normln"/>
    <w:qFormat/>
    <w:rsid w:val="00E65226"/>
    <w:pPr>
      <w:keepNext/>
      <w:spacing w:before="120" w:after="120"/>
    </w:pPr>
    <w:rPr>
      <w:rFonts w:ascii="Arial Narrow" w:hAnsi="Arial Narrow"/>
      <w:b/>
      <w:snapToGrid w:val="0"/>
      <w:sz w:val="22"/>
      <w:szCs w:val="20"/>
      <w:lang w:eastAsia="en-US"/>
    </w:rPr>
  </w:style>
  <w:style w:type="paragraph" w:styleId="Textbubliny">
    <w:name w:val="Balloon Text"/>
    <w:basedOn w:val="Normln"/>
    <w:semiHidden/>
    <w:rsid w:val="0027365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4F0D1F"/>
    <w:rPr>
      <w:b/>
      <w:bCs/>
      <w:sz w:val="28"/>
      <w:szCs w:val="28"/>
    </w:rPr>
  </w:style>
  <w:style w:type="paragraph" w:styleId="Revize">
    <w:name w:val="Revision"/>
    <w:hidden/>
    <w:uiPriority w:val="99"/>
    <w:semiHidden/>
    <w:rsid w:val="005904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Lazne Bohdanec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Stránská</dc:creator>
  <cp:keywords/>
  <dc:description/>
  <cp:lastModifiedBy>Šajtarová Věra</cp:lastModifiedBy>
  <cp:revision>2</cp:revision>
  <cp:lastPrinted>2025-12-15T11:35:00Z</cp:lastPrinted>
  <dcterms:created xsi:type="dcterms:W3CDTF">2026-03-19T10:56:00Z</dcterms:created>
  <dcterms:modified xsi:type="dcterms:W3CDTF">2026-03-19T10:56:00Z</dcterms:modified>
</cp:coreProperties>
</file>