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EB4" w:rsidRDefault="009864B2">
      <w:pPr>
        <w:pStyle w:val="Nadpis10"/>
        <w:keepNext/>
        <w:keepLines/>
      </w:pPr>
      <w:bookmarkStart w:id="0" w:name="bookmark0"/>
      <w:bookmarkStart w:id="1" w:name="_GoBack"/>
      <w:bookmarkEnd w:id="1"/>
      <w:r>
        <w:rPr>
          <w:rStyle w:val="Nadpis1"/>
          <w:b/>
          <w:bCs/>
        </w:rPr>
        <w:t>MĚSTO HRANICE</w:t>
      </w:r>
      <w:bookmarkEnd w:id="0"/>
    </w:p>
    <w:p w:rsidR="00A51EB4" w:rsidRDefault="009864B2">
      <w:pPr>
        <w:pStyle w:val="Zkladntext1"/>
        <w:spacing w:after="540"/>
        <w:jc w:val="center"/>
      </w:pPr>
      <w:r>
        <w:rPr>
          <w:rStyle w:val="Zkladntext"/>
          <w:b/>
          <w:bCs/>
        </w:rPr>
        <w:t>NAŘÍZENÍ MĚSTA HRANIC č. 1/2021</w:t>
      </w:r>
      <w:r>
        <w:rPr>
          <w:rStyle w:val="Zkladntext"/>
          <w:b/>
          <w:bCs/>
        </w:rPr>
        <w:br/>
        <w:t>o stání silničních motorových vozidel na vymezených místních komunikacích ve</w:t>
      </w:r>
      <w:r>
        <w:rPr>
          <w:rStyle w:val="Zkladntext"/>
          <w:b/>
          <w:bCs/>
        </w:rPr>
        <w:br/>
        <w:t>městě Hranice</w:t>
      </w:r>
    </w:p>
    <w:p w:rsidR="00A51EB4" w:rsidRDefault="009864B2">
      <w:pPr>
        <w:pStyle w:val="Zkladntext1"/>
        <w:spacing w:after="800"/>
        <w:ind w:left="380"/>
        <w:jc w:val="both"/>
      </w:pPr>
      <w:r>
        <w:rPr>
          <w:rStyle w:val="Zkladntext"/>
        </w:rPr>
        <w:t>Rada města Hranic schválila dne 21.9.2021 (usnesení 1905/2021 - RM 69) na základě § 23 odst. 1 písm. a) a c) zákona č.</w:t>
      </w:r>
      <w:r>
        <w:rPr>
          <w:rStyle w:val="Zkladntext"/>
        </w:rPr>
        <w:t xml:space="preserve"> 13/1997 Sb., o pozemních komunikacích, ve znění pozdějších předpisů a v souladu s § 11 odst. 1 a § 102 odst. 2 písm. d) zákona č. 128/2000 Sb., o obcích (obecní zřízení), ve znění pozdějších předpisů, toto nařízení města (dále jen „nařízení“):</w:t>
      </w:r>
    </w:p>
    <w:p w:rsidR="00A51EB4" w:rsidRDefault="009864B2">
      <w:pPr>
        <w:pStyle w:val="Nadpis10"/>
        <w:keepNext/>
        <w:keepLines/>
        <w:spacing w:after="0" w:line="259" w:lineRule="auto"/>
      </w:pPr>
      <w:bookmarkStart w:id="2" w:name="bookmark2"/>
      <w:r>
        <w:rPr>
          <w:rStyle w:val="Nadpis1"/>
          <w:b/>
          <w:bCs/>
        </w:rPr>
        <w:t>Článek 1</w:t>
      </w:r>
      <w:bookmarkEnd w:id="2"/>
    </w:p>
    <w:p w:rsidR="00A51EB4" w:rsidRDefault="009864B2">
      <w:pPr>
        <w:pStyle w:val="Nadpis10"/>
        <w:keepNext/>
        <w:keepLines/>
        <w:spacing w:line="259" w:lineRule="auto"/>
      </w:pPr>
      <w:r>
        <w:rPr>
          <w:rStyle w:val="Nadpis1"/>
          <w:b/>
          <w:bCs/>
        </w:rPr>
        <w:t>Úv</w:t>
      </w:r>
      <w:r>
        <w:rPr>
          <w:rStyle w:val="Nadpis1"/>
          <w:b/>
          <w:bCs/>
        </w:rPr>
        <w:t>odní ustanovení</w:t>
      </w:r>
    </w:p>
    <w:p w:rsidR="00A51EB4" w:rsidRDefault="009864B2">
      <w:pPr>
        <w:pStyle w:val="Zkladntext1"/>
        <w:numPr>
          <w:ilvl w:val="0"/>
          <w:numId w:val="1"/>
        </w:numPr>
        <w:tabs>
          <w:tab w:val="left" w:pos="323"/>
        </w:tabs>
        <w:spacing w:after="260"/>
        <w:ind w:left="380" w:hanging="380"/>
        <w:jc w:val="both"/>
      </w:pPr>
      <w:r>
        <w:rPr>
          <w:rStyle w:val="Zkladntext"/>
        </w:rPr>
        <w:t>Tímto nařízením se pro účely organizování dopravy na území města Hranic (dále jen „město“) vymezují místní komunikace nebo jejich určené úseky (dále jen „vymezené komunikace“), které lze užít za cenu sjednanou v souladu s cenovými předpisy</w:t>
      </w:r>
      <w:r>
        <w:rPr>
          <w:rStyle w:val="Zkladntext"/>
          <w:vertAlign w:val="superscript"/>
        </w:rPr>
        <w:footnoteReference w:id="1"/>
      </w:r>
      <w:r>
        <w:rPr>
          <w:rStyle w:val="Zkladntext"/>
        </w:rPr>
        <w:t xml:space="preserve"> k stání silničního motorového vozidla (dále jen „vozidlo“):</w:t>
      </w:r>
    </w:p>
    <w:p w:rsidR="00A51EB4" w:rsidRDefault="009864B2">
      <w:pPr>
        <w:pStyle w:val="Zkladntext1"/>
        <w:numPr>
          <w:ilvl w:val="0"/>
          <w:numId w:val="2"/>
        </w:numPr>
        <w:tabs>
          <w:tab w:val="left" w:pos="1090"/>
        </w:tabs>
        <w:spacing w:after="0" w:line="240" w:lineRule="auto"/>
        <w:ind w:left="1080" w:hanging="360"/>
        <w:jc w:val="both"/>
      </w:pPr>
      <w:r>
        <w:rPr>
          <w:rStyle w:val="Zkladntext"/>
        </w:rPr>
        <w:t>na dobu časově omezenou, nejvýše však na dobu 24 hodin (dále též tzv. „návštěvnické stání“),</w:t>
      </w:r>
    </w:p>
    <w:p w:rsidR="00A51EB4" w:rsidRDefault="009864B2">
      <w:pPr>
        <w:pStyle w:val="Zkladntext1"/>
        <w:numPr>
          <w:ilvl w:val="0"/>
          <w:numId w:val="2"/>
        </w:numPr>
        <w:tabs>
          <w:tab w:val="left" w:pos="1090"/>
        </w:tabs>
        <w:spacing w:after="0" w:line="240" w:lineRule="auto"/>
        <w:ind w:left="1080" w:hanging="360"/>
        <w:jc w:val="both"/>
      </w:pPr>
      <w:r>
        <w:rPr>
          <w:rStyle w:val="Zkladntext"/>
        </w:rPr>
        <w:t>provozovaného právnickou, nebo fyzickou osobou za účelem podnikání podle zvláštního právního předpisu</w:t>
      </w:r>
      <w:r>
        <w:rPr>
          <w:rStyle w:val="Zkladntext"/>
          <w:vertAlign w:val="superscript"/>
        </w:rPr>
        <w:footnoteReference w:id="2"/>
      </w:r>
      <w:r>
        <w:rPr>
          <w:rStyle w:val="Zkladntext"/>
        </w:rPr>
        <w:t>, která má sídlo nebo provozovnu ve vymezené oblasti města (dále též „abonent“),</w:t>
      </w:r>
    </w:p>
    <w:p w:rsidR="00A51EB4" w:rsidRDefault="009864B2">
      <w:pPr>
        <w:pStyle w:val="Zkladntext1"/>
        <w:numPr>
          <w:ilvl w:val="0"/>
          <w:numId w:val="2"/>
        </w:numPr>
        <w:tabs>
          <w:tab w:val="left" w:pos="1090"/>
        </w:tabs>
        <w:spacing w:after="260" w:line="240" w:lineRule="auto"/>
        <w:ind w:left="1080" w:hanging="360"/>
        <w:jc w:val="both"/>
      </w:pPr>
      <w:r>
        <w:rPr>
          <w:rStyle w:val="Zkladntext"/>
        </w:rPr>
        <w:t>fyzické osoby, která má místo trvalého pobytu nebo je vlastníkem nemovitosti ve vymezené oblasti města (dále též „rezident“).</w:t>
      </w:r>
    </w:p>
    <w:p w:rsidR="00A51EB4" w:rsidRDefault="009864B2">
      <w:pPr>
        <w:pStyle w:val="Zkladntext1"/>
        <w:numPr>
          <w:ilvl w:val="0"/>
          <w:numId w:val="1"/>
        </w:numPr>
        <w:tabs>
          <w:tab w:val="left" w:pos="342"/>
        </w:tabs>
        <w:spacing w:after="260"/>
        <w:ind w:left="380" w:hanging="380"/>
        <w:jc w:val="both"/>
      </w:pPr>
      <w:r>
        <w:rPr>
          <w:rStyle w:val="Zkladntext"/>
        </w:rPr>
        <w:t>Toto nařízení dále stanovuje způsob placení sjedn</w:t>
      </w:r>
      <w:r>
        <w:rPr>
          <w:rStyle w:val="Zkladntext"/>
        </w:rPr>
        <w:t>ané ceny za stání vozidla a způsob prokazování jejího zaplacení.</w:t>
      </w:r>
    </w:p>
    <w:p w:rsidR="00A51EB4" w:rsidRDefault="009864B2">
      <w:pPr>
        <w:pStyle w:val="Zkladntext1"/>
        <w:numPr>
          <w:ilvl w:val="0"/>
          <w:numId w:val="1"/>
        </w:numPr>
        <w:tabs>
          <w:tab w:val="left" w:pos="337"/>
        </w:tabs>
        <w:spacing w:after="540" w:line="254" w:lineRule="auto"/>
        <w:ind w:left="380" w:hanging="380"/>
        <w:jc w:val="both"/>
      </w:pPr>
      <w:r>
        <w:rPr>
          <w:rStyle w:val="Zkladntext"/>
        </w:rPr>
        <w:t>Tímto nařízením se dále stanovuje vymezená oblast města uvedená v čl. 1 odst. 1 písm. b) a písm. c).</w:t>
      </w:r>
    </w:p>
    <w:p w:rsidR="00A51EB4" w:rsidRDefault="009864B2">
      <w:pPr>
        <w:pStyle w:val="Nadpis10"/>
        <w:keepNext/>
        <w:keepLines/>
        <w:spacing w:after="0" w:line="259" w:lineRule="auto"/>
      </w:pPr>
      <w:bookmarkStart w:id="3" w:name="bookmark5"/>
      <w:r>
        <w:rPr>
          <w:rStyle w:val="Nadpis1"/>
          <w:b/>
          <w:bCs/>
        </w:rPr>
        <w:t>Článek 2</w:t>
      </w:r>
      <w:bookmarkEnd w:id="3"/>
    </w:p>
    <w:p w:rsidR="00A51EB4" w:rsidRDefault="009864B2">
      <w:pPr>
        <w:pStyle w:val="Nadpis10"/>
        <w:keepNext/>
        <w:keepLines/>
        <w:spacing w:line="259" w:lineRule="auto"/>
      </w:pPr>
      <w:r>
        <w:rPr>
          <w:rStyle w:val="Nadpis1"/>
          <w:b/>
          <w:bCs/>
        </w:rPr>
        <w:t>Vymezení místních komunikací a oblastí, časové vymezení zpoplatnění</w:t>
      </w:r>
    </w:p>
    <w:p w:rsidR="00A51EB4" w:rsidRDefault="009864B2">
      <w:pPr>
        <w:pStyle w:val="Zkladntext1"/>
        <w:numPr>
          <w:ilvl w:val="0"/>
          <w:numId w:val="3"/>
        </w:numPr>
        <w:tabs>
          <w:tab w:val="left" w:pos="323"/>
        </w:tabs>
        <w:spacing w:after="0"/>
        <w:ind w:left="380" w:hanging="380"/>
        <w:jc w:val="both"/>
      </w:pPr>
      <w:r>
        <w:rPr>
          <w:rStyle w:val="Zkladntext"/>
        </w:rPr>
        <w:t xml:space="preserve">Vymezené </w:t>
      </w:r>
      <w:r>
        <w:rPr>
          <w:rStyle w:val="Zkladntext"/>
        </w:rPr>
        <w:t>komunikace, které lze užít k stání vozidla za cenu sjednanou v souladu s cenovými předpisy</w:t>
      </w:r>
      <w:r>
        <w:rPr>
          <w:rStyle w:val="Zkladntext"/>
          <w:vertAlign w:val="superscript"/>
        </w:rPr>
        <w:t>1</w:t>
      </w:r>
      <w:r>
        <w:rPr>
          <w:rStyle w:val="Zkladntext"/>
        </w:rPr>
        <w:t xml:space="preserve"> na dobu časově omezenou, nejdéle však na dobu 24 hodin „(návštěvnické stání)“, a k stání vozidla provozovaného abonentem a vozidla rezidenta, se nachází ve městě Hr</w:t>
      </w:r>
      <w:r>
        <w:rPr>
          <w:rStyle w:val="Zkladntext"/>
        </w:rPr>
        <w:t>anice na místních komunikacích nebo na jejich určených úsecích a jsou uvedeny v příloze č. 1 tohoto nařízení.</w:t>
      </w:r>
    </w:p>
    <w:p w:rsidR="00A51EB4" w:rsidRDefault="009864B2">
      <w:pPr>
        <w:pStyle w:val="Zkladntext1"/>
        <w:numPr>
          <w:ilvl w:val="0"/>
          <w:numId w:val="3"/>
        </w:numPr>
        <w:tabs>
          <w:tab w:val="left" w:pos="342"/>
        </w:tabs>
        <w:spacing w:after="260"/>
        <w:ind w:left="380" w:hanging="380"/>
        <w:jc w:val="both"/>
      </w:pPr>
      <w:r>
        <w:rPr>
          <w:rStyle w:val="Zkladntext"/>
        </w:rPr>
        <w:t>Vymezené komunikace dle článku 2 odst. 1 jsou označeny podle zvláštního právního předpisu</w:t>
      </w:r>
      <w:r>
        <w:rPr>
          <w:rStyle w:val="Zkladntext"/>
          <w:vertAlign w:val="superscript"/>
        </w:rPr>
        <w:footnoteReference w:id="3"/>
      </w:r>
      <w:r>
        <w:rPr>
          <w:rStyle w:val="Zkladntext"/>
        </w:rPr>
        <w:t>.</w:t>
      </w:r>
    </w:p>
    <w:p w:rsidR="00A51EB4" w:rsidRDefault="009864B2">
      <w:pPr>
        <w:pStyle w:val="Zkladntext1"/>
        <w:numPr>
          <w:ilvl w:val="0"/>
          <w:numId w:val="3"/>
        </w:numPr>
        <w:tabs>
          <w:tab w:val="left" w:pos="327"/>
        </w:tabs>
        <w:ind w:left="360" w:hanging="360"/>
        <w:jc w:val="both"/>
      </w:pPr>
      <w:r>
        <w:rPr>
          <w:rStyle w:val="Zkladntext"/>
        </w:rPr>
        <w:t xml:space="preserve">Časové vymezení zpoplatněného parkování na vymezených </w:t>
      </w:r>
      <w:r>
        <w:rPr>
          <w:rStyle w:val="Zkladntext"/>
        </w:rPr>
        <w:t xml:space="preserve">komunikacích dle čl. 2 odst. 1 </w:t>
      </w:r>
      <w:r>
        <w:rPr>
          <w:rStyle w:val="Zkladntext"/>
        </w:rPr>
        <w:lastRenderedPageBreak/>
        <w:t>tohoto nařízení je od pondělí do pátku od 08:00 do 17:00 hodin a v sobotu od 08:00 do 12:00 hodin. Mimo tuto dobu a ve státní svátky je parkování na vymezených komunikacích bezplatné.</w:t>
      </w:r>
    </w:p>
    <w:p w:rsidR="00A51EB4" w:rsidRDefault="009864B2">
      <w:pPr>
        <w:pStyle w:val="Zkladntext1"/>
        <w:numPr>
          <w:ilvl w:val="0"/>
          <w:numId w:val="3"/>
        </w:numPr>
        <w:tabs>
          <w:tab w:val="left" w:pos="332"/>
        </w:tabs>
        <w:spacing w:after="0" w:line="254" w:lineRule="auto"/>
        <w:ind w:left="360" w:hanging="360"/>
        <w:jc w:val="both"/>
      </w:pPr>
      <w:r>
        <w:rPr>
          <w:rStyle w:val="Zkladntext"/>
        </w:rPr>
        <w:t>Vymezenou oblastí města podle čl. 1 odst.</w:t>
      </w:r>
      <w:r>
        <w:rPr>
          <w:rStyle w:val="Zkladntext"/>
        </w:rPr>
        <w:t xml:space="preserve"> 1 písm. b) a písm. c) tohoto nařízení jsou v Hranicích tyto ulice a náměstí:</w:t>
      </w:r>
    </w:p>
    <w:p w:rsidR="00A51EB4" w:rsidRDefault="009864B2">
      <w:pPr>
        <w:pStyle w:val="Zkladntext1"/>
        <w:spacing w:after="820" w:line="254" w:lineRule="auto"/>
        <w:ind w:left="360"/>
        <w:jc w:val="both"/>
      </w:pPr>
      <w:r>
        <w:rPr>
          <w:rStyle w:val="Zkladntext"/>
        </w:rPr>
        <w:t>Jiráskova, Náměstí 8. května, Komenského, Teplická (v úseku mezi křižovatkou s ulicí Komenského a křižovatkou s ulicí Přísady), 28. října, Svatoplukova, Janáčkova, Zámecká, Farní</w:t>
      </w:r>
      <w:r>
        <w:rPr>
          <w:rStyle w:val="Zkladntext"/>
        </w:rPr>
        <w:t>, Radniční, Na Náspech, Masarykovo náměstí, Pernštejnské náměstí.</w:t>
      </w:r>
    </w:p>
    <w:p w:rsidR="00A51EB4" w:rsidRDefault="009864B2">
      <w:pPr>
        <w:pStyle w:val="Nadpis10"/>
        <w:keepNext/>
        <w:keepLines/>
        <w:spacing w:after="0"/>
      </w:pPr>
      <w:bookmarkStart w:id="4" w:name="bookmark8"/>
      <w:r>
        <w:rPr>
          <w:rStyle w:val="Nadpis1"/>
          <w:b/>
          <w:bCs/>
        </w:rPr>
        <w:t>Článek 3</w:t>
      </w:r>
      <w:bookmarkEnd w:id="4"/>
    </w:p>
    <w:p w:rsidR="00A51EB4" w:rsidRDefault="009864B2">
      <w:pPr>
        <w:pStyle w:val="Nadpis10"/>
        <w:keepNext/>
        <w:keepLines/>
        <w:spacing w:after="280"/>
      </w:pPr>
      <w:r>
        <w:rPr>
          <w:rStyle w:val="Nadpis1"/>
          <w:b/>
          <w:bCs/>
        </w:rPr>
        <w:t>Způsob placení a prokazování sjednané ceny za stání</w:t>
      </w:r>
    </w:p>
    <w:p w:rsidR="00A51EB4" w:rsidRDefault="009864B2">
      <w:pPr>
        <w:pStyle w:val="Zkladntext1"/>
        <w:numPr>
          <w:ilvl w:val="0"/>
          <w:numId w:val="4"/>
        </w:numPr>
        <w:tabs>
          <w:tab w:val="left" w:pos="313"/>
          <w:tab w:val="left" w:pos="2026"/>
          <w:tab w:val="left" w:pos="2683"/>
          <w:tab w:val="left" w:pos="6797"/>
        </w:tabs>
        <w:spacing w:after="0"/>
        <w:ind w:left="360" w:hanging="360"/>
        <w:jc w:val="both"/>
      </w:pPr>
      <w:r>
        <w:rPr>
          <w:rStyle w:val="Zkladntext"/>
        </w:rPr>
        <w:t xml:space="preserve">Vymezené komunikace podle čl. 2 odst. 1 tohoto nařízení (návštěvnické stání) lze užívat ke stání jen za cenu sjednanou v souladu </w:t>
      </w:r>
      <w:r>
        <w:rPr>
          <w:rStyle w:val="Zkladntext"/>
        </w:rPr>
        <w:t>s cenovými předpisy. Sjednanou cenu při návštěvnickém</w:t>
      </w:r>
      <w:r>
        <w:rPr>
          <w:rStyle w:val="Zkladntext"/>
        </w:rPr>
        <w:tab/>
        <w:t>stání</w:t>
      </w:r>
      <w:r>
        <w:rPr>
          <w:rStyle w:val="Zkladntext"/>
        </w:rPr>
        <w:tab/>
        <w:t>lze zaplatit prostřednictvím mobilní</w:t>
      </w:r>
      <w:r>
        <w:rPr>
          <w:rStyle w:val="Zkladntext"/>
        </w:rPr>
        <w:tab/>
        <w:t>aplikace CLICK PARK,</w:t>
      </w:r>
    </w:p>
    <w:p w:rsidR="00A51EB4" w:rsidRDefault="009864B2">
      <w:pPr>
        <w:pStyle w:val="Zkladntext1"/>
        <w:ind w:left="360"/>
        <w:jc w:val="both"/>
      </w:pPr>
      <w:r>
        <w:rPr>
          <w:rStyle w:val="Zkladntext"/>
        </w:rPr>
        <w:t>prostřednictvím SMS, nebo platbou v parkovacím automatu provozovaném správcem parkovišť.</w:t>
      </w:r>
    </w:p>
    <w:p w:rsidR="00A51EB4" w:rsidRDefault="009864B2">
      <w:pPr>
        <w:pStyle w:val="Zkladntext1"/>
        <w:spacing w:after="0"/>
        <w:ind w:firstLine="420"/>
        <w:jc w:val="both"/>
      </w:pPr>
      <w:r>
        <w:rPr>
          <w:rStyle w:val="Zkladntext"/>
        </w:rPr>
        <w:t>a) Zaplacení sjednané ceny návštěvnického stání s</w:t>
      </w:r>
      <w:r>
        <w:rPr>
          <w:rStyle w:val="Zkladntext"/>
        </w:rPr>
        <w:t>e prokazuje:</w:t>
      </w:r>
    </w:p>
    <w:p w:rsidR="00A51EB4" w:rsidRDefault="009864B2">
      <w:pPr>
        <w:pStyle w:val="Zkladntext1"/>
        <w:numPr>
          <w:ilvl w:val="0"/>
          <w:numId w:val="5"/>
        </w:numPr>
        <w:tabs>
          <w:tab w:val="left" w:pos="1210"/>
        </w:tabs>
        <w:spacing w:after="0"/>
        <w:ind w:left="1200" w:hanging="360"/>
        <w:jc w:val="both"/>
      </w:pPr>
      <w:r>
        <w:rPr>
          <w:rStyle w:val="Zkladntext"/>
        </w:rPr>
        <w:t>parkovacím lístkem umístěným uvnitř vozidla za jeho předním sklem tak, aby údaje z lícní strany parkovacího lístku byly dobře viditelné a čitelné. Řidič motocyklu si parkovací lístek ponechá u sebe a předloží jej kontrolnímu orgánu na jeho vyz</w:t>
      </w:r>
      <w:r>
        <w:rPr>
          <w:rStyle w:val="Zkladntext"/>
        </w:rPr>
        <w:t>vání,</w:t>
      </w:r>
    </w:p>
    <w:p w:rsidR="00A51EB4" w:rsidRDefault="009864B2">
      <w:pPr>
        <w:pStyle w:val="Zkladntext1"/>
        <w:numPr>
          <w:ilvl w:val="0"/>
          <w:numId w:val="5"/>
        </w:numPr>
        <w:tabs>
          <w:tab w:val="left" w:pos="1186"/>
        </w:tabs>
        <w:ind w:firstLine="840"/>
        <w:jc w:val="both"/>
      </w:pPr>
      <w:r>
        <w:rPr>
          <w:rStyle w:val="Zkladntext"/>
        </w:rPr>
        <w:t>potvrzením o provedení platby mobilní nebo webovou aplikací.</w:t>
      </w:r>
    </w:p>
    <w:p w:rsidR="00A51EB4" w:rsidRDefault="009864B2">
      <w:pPr>
        <w:pStyle w:val="Zkladntext1"/>
        <w:numPr>
          <w:ilvl w:val="0"/>
          <w:numId w:val="4"/>
        </w:numPr>
        <w:tabs>
          <w:tab w:val="left" w:pos="332"/>
        </w:tabs>
        <w:ind w:left="360" w:hanging="360"/>
        <w:jc w:val="both"/>
      </w:pPr>
      <w:r>
        <w:rPr>
          <w:rStyle w:val="Zkladntext"/>
        </w:rPr>
        <w:t>Vymezené komunikace podle čl. 2 odst. 1 tohoto nařízení lze užívat také ke stání vozidla provozovaného abonentem a vozidla rezidenta za cenu sjednanou v souladu s cenovými předpisy. Po zapl</w:t>
      </w:r>
      <w:r>
        <w:rPr>
          <w:rStyle w:val="Zkladntext"/>
        </w:rPr>
        <w:t xml:space="preserve">acení sjednané ceny abonent či rezident obdrží od správce parkovišť parkovací kartu na zvolené časové období. Parkovací karta obsahuje číslo parkovací karty, registrační značku vozidla, dobu platnosti. Tím není dotčeno právo užít vymezené komunikace podle </w:t>
      </w:r>
      <w:r>
        <w:rPr>
          <w:rStyle w:val="Zkladntext"/>
        </w:rPr>
        <w:t>čl. 2 odst. 1 tohoto nařízení ke stání vozidla provozovaného abonentem a vozidla rezidenta v režimu návštěvnického stání.</w:t>
      </w:r>
    </w:p>
    <w:p w:rsidR="00A51EB4" w:rsidRDefault="009864B2">
      <w:pPr>
        <w:pStyle w:val="Zkladntext1"/>
        <w:spacing w:after="540"/>
        <w:ind w:left="720" w:hanging="360"/>
        <w:jc w:val="both"/>
      </w:pPr>
      <w:r>
        <w:rPr>
          <w:rStyle w:val="Zkladntext"/>
        </w:rPr>
        <w:t>a) Zaplacení sjednané ceny stání vozidla provozovaného abonentem a vozidla rezidenta se prokazuje parkovací kartou umístěnou uvnitř vo</w:t>
      </w:r>
      <w:r>
        <w:rPr>
          <w:rStyle w:val="Zkladntext"/>
        </w:rPr>
        <w:t>zidla za jeho předním sklem tak, aby údaje z lícní strany karty byly dobře viditelné a čitelné. Řidič motocyklu si parkovací kartu ponechá u sebe a předloží ji kontrolnímu orgánu na jeho vyzvání.</w:t>
      </w:r>
    </w:p>
    <w:p w:rsidR="00A51EB4" w:rsidRDefault="009864B2">
      <w:pPr>
        <w:pStyle w:val="Nadpis10"/>
        <w:keepNext/>
        <w:keepLines/>
        <w:spacing w:after="280"/>
      </w:pPr>
      <w:bookmarkStart w:id="5" w:name="bookmark11"/>
      <w:r>
        <w:rPr>
          <w:rStyle w:val="Nadpis1"/>
          <w:b/>
          <w:bCs/>
        </w:rPr>
        <w:t>Článek 4</w:t>
      </w:r>
      <w:bookmarkEnd w:id="5"/>
    </w:p>
    <w:p w:rsidR="00A51EB4" w:rsidRDefault="009864B2">
      <w:pPr>
        <w:pStyle w:val="Zkladntext1"/>
        <w:spacing w:line="240" w:lineRule="auto"/>
        <w:ind w:firstLine="360"/>
        <w:jc w:val="both"/>
      </w:pPr>
      <w:r>
        <w:rPr>
          <w:rStyle w:val="Zkladntext"/>
        </w:rPr>
        <w:t xml:space="preserve">Na porušení povinností stanovených tímto nařízením </w:t>
      </w:r>
      <w:r>
        <w:rPr>
          <w:rStyle w:val="Zkladntext"/>
        </w:rPr>
        <w:t>se vztahují zvláštní právní předpisy</w:t>
      </w:r>
      <w:r>
        <w:rPr>
          <w:rStyle w:val="Zkladntext"/>
          <w:vertAlign w:val="superscript"/>
        </w:rPr>
        <w:footnoteReference w:id="4"/>
      </w:r>
      <w:r>
        <w:rPr>
          <w:rStyle w:val="Zkladntext"/>
        </w:rPr>
        <w:t>.</w:t>
      </w:r>
    </w:p>
    <w:p w:rsidR="00A51EB4" w:rsidRDefault="009864B2">
      <w:pPr>
        <w:pStyle w:val="Nadpis10"/>
        <w:keepNext/>
        <w:keepLines/>
        <w:spacing w:after="0"/>
      </w:pPr>
      <w:bookmarkStart w:id="6" w:name="bookmark13"/>
      <w:r>
        <w:rPr>
          <w:rStyle w:val="Nadpis1"/>
          <w:b/>
          <w:bCs/>
        </w:rPr>
        <w:t>Článek 5</w:t>
      </w:r>
      <w:bookmarkEnd w:id="6"/>
    </w:p>
    <w:p w:rsidR="00A51EB4" w:rsidRDefault="009864B2">
      <w:pPr>
        <w:pStyle w:val="Nadpis10"/>
        <w:keepNext/>
        <w:keepLines/>
        <w:spacing w:after="280"/>
      </w:pPr>
      <w:r>
        <w:rPr>
          <w:rStyle w:val="Nadpis1"/>
          <w:b/>
          <w:bCs/>
        </w:rPr>
        <w:t>Zrušovací ustanovení a účinnost</w:t>
      </w:r>
      <w:r>
        <w:br w:type="page"/>
      </w:r>
    </w:p>
    <w:p w:rsidR="00A51EB4" w:rsidRDefault="009864B2">
      <w:pPr>
        <w:pStyle w:val="Zkladntext1"/>
        <w:numPr>
          <w:ilvl w:val="0"/>
          <w:numId w:val="6"/>
        </w:numPr>
        <w:tabs>
          <w:tab w:val="left" w:pos="363"/>
        </w:tabs>
        <w:ind w:left="300" w:hanging="300"/>
        <w:jc w:val="both"/>
      </w:pPr>
      <w:r>
        <w:rPr>
          <w:rStyle w:val="Zkladntext"/>
        </w:rPr>
        <w:lastRenderedPageBreak/>
        <w:t>Tímto nařízením se ruší Nařízení města Hranic č. 01/2006 o stání silničních motorových vozidel na vymezených místních komunikacích ve městě Hranice.</w:t>
      </w:r>
    </w:p>
    <w:p w:rsidR="00A51EB4" w:rsidRDefault="009864B2">
      <w:pPr>
        <w:pStyle w:val="Zkladntext1"/>
        <w:numPr>
          <w:ilvl w:val="0"/>
          <w:numId w:val="6"/>
        </w:numPr>
        <w:tabs>
          <w:tab w:val="left" w:pos="382"/>
        </w:tabs>
        <w:spacing w:after="2180"/>
      </w:pPr>
      <w:r>
        <w:rPr>
          <w:rStyle w:val="Zkladntext"/>
        </w:rPr>
        <w:t xml:space="preserve">Toto nařízení nabývá </w:t>
      </w:r>
      <w:r>
        <w:rPr>
          <w:rStyle w:val="Zkladntext"/>
        </w:rPr>
        <w:t>účinnosti patnáctým dnem po dni jeho vyhlášení.</w:t>
      </w:r>
    </w:p>
    <w:p w:rsidR="00A51EB4" w:rsidRDefault="009864B2">
      <w:pPr>
        <w:pStyle w:val="Zkladntext1"/>
        <w:spacing w:after="1620"/>
        <w:ind w:left="402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869950</wp:posOffset>
                </wp:positionH>
                <wp:positionV relativeFrom="paragraph">
                  <wp:posOffset>12700</wp:posOffset>
                </wp:positionV>
                <wp:extent cx="944880" cy="3594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44880" cy="359410"/>
                        </a:xfrm>
                        <a:prstGeom prst="rect">
                          <a:avLst/>
                        </a:prstGeom>
                        <a:noFill/>
                      </wps:spPr>
                      <wps:txbx>
                        <w:txbxContent>
                          <w:p w:rsidR="00A51EB4" w:rsidRDefault="009864B2">
                            <w:pPr>
                              <w:pStyle w:val="Zkladntext1"/>
                              <w:spacing w:after="0"/>
                            </w:pPr>
                            <w:r>
                              <w:rPr>
                                <w:rStyle w:val="Zkladntext"/>
                              </w:rPr>
                              <w:t>Jiří Kudláček starosta města</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5pt;margin-top:1.pt;width:74.400000000000006pt;height:28.300000000000001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ind w:left="0" w:right="0" w:firstLine="0"/>
                        <w:jc w:val="left"/>
                      </w:pPr>
                      <w:r>
                        <w:rPr>
                          <w:rStyle w:val="CharStyle6"/>
                        </w:rPr>
                        <w:t>Jiří Kudláček starosta města</w:t>
                      </w:r>
                    </w:p>
                  </w:txbxContent>
                </v:textbox>
                <w10:wrap type="square" side="right" anchorx="page"/>
              </v:shape>
            </w:pict>
          </mc:Fallback>
        </mc:AlternateContent>
      </w:r>
      <w:r>
        <w:rPr>
          <w:rStyle w:val="Zkladntext"/>
        </w:rPr>
        <w:t>PhDr. Vladimír Juračka místostarosta města</w:t>
      </w:r>
    </w:p>
    <w:p w:rsidR="00A51EB4" w:rsidRDefault="009864B2">
      <w:pPr>
        <w:pStyle w:val="Zkladntext1"/>
        <w:spacing w:line="240" w:lineRule="auto"/>
        <w:ind w:firstLine="300"/>
      </w:pPr>
      <w:r>
        <w:rPr>
          <w:rStyle w:val="Zkladntext"/>
        </w:rPr>
        <w:t>Vyvěšeno: 24.09.2021</w:t>
      </w:r>
    </w:p>
    <w:p w:rsidR="00A51EB4" w:rsidRDefault="009864B2">
      <w:pPr>
        <w:pStyle w:val="Zkladntext1"/>
        <w:tabs>
          <w:tab w:val="left" w:pos="1414"/>
        </w:tabs>
        <w:spacing w:after="0" w:line="240" w:lineRule="auto"/>
        <w:ind w:firstLine="300"/>
      </w:pPr>
      <w:r>
        <w:rPr>
          <w:rStyle w:val="Zkladntext"/>
        </w:rPr>
        <w:t>Svěšeno:</w:t>
      </w:r>
      <w:r>
        <w:rPr>
          <w:rStyle w:val="Zkladntext"/>
        </w:rPr>
        <w:tab/>
        <w:t>11.10.2021</w:t>
      </w:r>
    </w:p>
    <w:sectPr w:rsidR="00A51EB4">
      <w:pgSz w:w="11900" w:h="16840"/>
      <w:pgMar w:top="1660" w:right="1367" w:bottom="1190" w:left="1043" w:header="1232" w:footer="762"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64B2">
      <w:r>
        <w:separator/>
      </w:r>
    </w:p>
  </w:endnote>
  <w:endnote w:type="continuationSeparator" w:id="0">
    <w:p w:rsidR="00000000" w:rsidRDefault="0098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EB4" w:rsidRDefault="009864B2">
      <w:r>
        <w:separator/>
      </w:r>
    </w:p>
  </w:footnote>
  <w:footnote w:type="continuationSeparator" w:id="0">
    <w:p w:rsidR="00A51EB4" w:rsidRDefault="009864B2">
      <w:r>
        <w:continuationSeparator/>
      </w:r>
    </w:p>
  </w:footnote>
  <w:footnote w:id="1">
    <w:p w:rsidR="00A51EB4" w:rsidRDefault="009864B2">
      <w:pPr>
        <w:pStyle w:val="Poznmkapodarou0"/>
        <w:ind w:left="0" w:firstLine="380"/>
      </w:pPr>
      <w:r>
        <w:rPr>
          <w:rStyle w:val="Poznmkapodarou"/>
          <w:vertAlign w:val="superscript"/>
        </w:rPr>
        <w:footnoteRef/>
      </w:r>
      <w:r>
        <w:rPr>
          <w:rStyle w:val="Poznmkapodarou"/>
        </w:rPr>
        <w:t xml:space="preserve"> Zákon č. 526/1990 Sb., o cenách, ve znění pozdějších předpisů.</w:t>
      </w:r>
    </w:p>
  </w:footnote>
  <w:footnote w:id="2">
    <w:p w:rsidR="00A51EB4" w:rsidRDefault="009864B2">
      <w:pPr>
        <w:pStyle w:val="Poznmkapodarou0"/>
        <w:ind w:left="0" w:firstLine="380"/>
      </w:pPr>
      <w:r>
        <w:rPr>
          <w:rStyle w:val="Poznmkapodarou"/>
          <w:vertAlign w:val="superscript"/>
        </w:rPr>
        <w:footnoteRef/>
      </w:r>
      <w:r>
        <w:rPr>
          <w:rStyle w:val="Poznmkapodarou"/>
        </w:rPr>
        <w:t xml:space="preserve"> Zákon č. 455/1991 Sb., o živnostenském podnikání (živnostenský zákon), ve znění pozdějších předpisů.</w:t>
      </w:r>
    </w:p>
  </w:footnote>
  <w:footnote w:id="3">
    <w:p w:rsidR="00A51EB4" w:rsidRDefault="009864B2">
      <w:pPr>
        <w:pStyle w:val="Poznmkapodarou0"/>
        <w:ind w:left="380"/>
      </w:pPr>
      <w:r>
        <w:rPr>
          <w:rStyle w:val="Poznmkapodarou"/>
          <w:vertAlign w:val="superscript"/>
        </w:rPr>
        <w:footnoteRef/>
      </w:r>
      <w:r>
        <w:rPr>
          <w:rStyle w:val="Poznmkapodarou"/>
        </w:rPr>
        <w:t xml:space="preserve"> Vyhláška č. 294/2015 Sb., kterou se provádějí pravidla provozu na pozemních komunikacích, ve znění pozdějších předpisů a zákon č. 361/2000 Sb., o provozu na pozemních komunikacích a o změnách některých zákonů, ve znění pozdějších předpisů.</w:t>
      </w:r>
    </w:p>
  </w:footnote>
  <w:footnote w:id="4">
    <w:p w:rsidR="00A51EB4" w:rsidRDefault="009864B2">
      <w:pPr>
        <w:pStyle w:val="Poznmkapodarou0"/>
        <w:spacing w:line="262" w:lineRule="auto"/>
      </w:pPr>
      <w:r>
        <w:rPr>
          <w:rStyle w:val="Poznmkapodarou"/>
          <w:rFonts w:ascii="Calibri" w:eastAsia="Calibri" w:hAnsi="Calibri" w:cs="Calibri"/>
          <w:sz w:val="13"/>
          <w:szCs w:val="13"/>
          <w:vertAlign w:val="superscript"/>
        </w:rPr>
        <w:footnoteRef/>
      </w:r>
      <w:r>
        <w:rPr>
          <w:rStyle w:val="Poznmkapodarou"/>
          <w:rFonts w:ascii="Calibri" w:eastAsia="Calibri" w:hAnsi="Calibri" w:cs="Calibri"/>
          <w:sz w:val="13"/>
          <w:szCs w:val="13"/>
        </w:rPr>
        <w:t xml:space="preserve"> </w:t>
      </w:r>
      <w:r>
        <w:rPr>
          <w:rStyle w:val="Poznmkapodarou"/>
        </w:rPr>
        <w:t>Zákon č. 250/</w:t>
      </w:r>
      <w:r>
        <w:rPr>
          <w:rStyle w:val="Poznmkapodarou"/>
        </w:rPr>
        <w:t>2016 Sb., o odpovědnosti za přestupky a řízení o nich, a zákon č. 251/2016 Sb., o některých přestupcích, v platném znění.</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F7E54"/>
    <w:multiLevelType w:val="multilevel"/>
    <w:tmpl w:val="76446E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B361F5"/>
    <w:multiLevelType w:val="multilevel"/>
    <w:tmpl w:val="691852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F06EF3"/>
    <w:multiLevelType w:val="multilevel"/>
    <w:tmpl w:val="40CE98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4E0B50"/>
    <w:multiLevelType w:val="multilevel"/>
    <w:tmpl w:val="7DCC72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7E0921"/>
    <w:multiLevelType w:val="multilevel"/>
    <w:tmpl w:val="B70280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F8354F"/>
    <w:multiLevelType w:val="multilevel"/>
    <w:tmpl w:val="D174F7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B4"/>
    <w:rsid w:val="009864B2"/>
    <w:rsid w:val="00A51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7ABA9-8004-40E0-A9FD-7671FE4C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paragraph" w:customStyle="1" w:styleId="Poznmkapodarou0">
    <w:name w:val="Poznámka pod čarou"/>
    <w:basedOn w:val="Normln"/>
    <w:link w:val="Poznmkapodarou"/>
    <w:pPr>
      <w:ind w:left="360"/>
    </w:pPr>
    <w:rPr>
      <w:rFonts w:ascii="Arial" w:eastAsia="Arial" w:hAnsi="Arial" w:cs="Arial"/>
      <w:sz w:val="16"/>
      <w:szCs w:val="16"/>
    </w:rPr>
  </w:style>
  <w:style w:type="paragraph" w:customStyle="1" w:styleId="Zkladntext1">
    <w:name w:val="Základní text1"/>
    <w:basedOn w:val="Normln"/>
    <w:link w:val="Zkladntext"/>
    <w:pPr>
      <w:spacing w:after="280" w:line="259" w:lineRule="auto"/>
    </w:pPr>
    <w:rPr>
      <w:rFonts w:ascii="Arial" w:eastAsia="Arial" w:hAnsi="Arial" w:cs="Arial"/>
      <w:sz w:val="22"/>
      <w:szCs w:val="22"/>
    </w:rPr>
  </w:style>
  <w:style w:type="paragraph" w:customStyle="1" w:styleId="Nadpis10">
    <w:name w:val="Nadpis #1"/>
    <w:basedOn w:val="Normln"/>
    <w:link w:val="Nadpis1"/>
    <w:pPr>
      <w:spacing w:after="260"/>
      <w:jc w:val="center"/>
      <w:outlineLvl w:val="0"/>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4046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Slovák Pavel</dc:creator>
  <cp:keywords/>
  <cp:lastModifiedBy>Onyščuková Kristina</cp:lastModifiedBy>
  <cp:revision>2</cp:revision>
  <dcterms:created xsi:type="dcterms:W3CDTF">2024-06-20T11:40:00Z</dcterms:created>
  <dcterms:modified xsi:type="dcterms:W3CDTF">2024-06-20T11:40:00Z</dcterms:modified>
</cp:coreProperties>
</file>