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39BE" w14:textId="77777777" w:rsidR="00B70496" w:rsidRPr="00C01581" w:rsidRDefault="00B70496" w:rsidP="00FD643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580E565" w14:textId="77777777" w:rsidR="003626E5" w:rsidRDefault="003626E5" w:rsidP="00FD6434">
      <w:pPr>
        <w:spacing w:after="0" w:line="240" w:lineRule="auto"/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>Statutární město Frýdek-Místek</w:t>
      </w:r>
    </w:p>
    <w:p w14:paraId="4CED3672" w14:textId="77777777" w:rsidR="003626E5" w:rsidRDefault="003626E5" w:rsidP="00FD6434">
      <w:pPr>
        <w:spacing w:after="0" w:line="240" w:lineRule="auto"/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  <w:lang w:eastAsia="en-US"/>
        </w:rPr>
        <w:t>Rada města Frýdku-Místku</w:t>
      </w:r>
    </w:p>
    <w:p w14:paraId="434E9CB0" w14:textId="77777777" w:rsidR="003626E5" w:rsidRDefault="003626E5" w:rsidP="00FD6434">
      <w:pPr>
        <w:pStyle w:val="Zkladntext"/>
        <w:jc w:val="center"/>
        <w:rPr>
          <w:b/>
          <w:bCs/>
        </w:rPr>
      </w:pPr>
    </w:p>
    <w:p w14:paraId="39DDEDA5" w14:textId="35C0DD40" w:rsidR="003626E5" w:rsidRPr="00C01581" w:rsidRDefault="003626E5" w:rsidP="00FD6434">
      <w:pPr>
        <w:pStyle w:val="Zkladntext"/>
        <w:jc w:val="center"/>
        <w:rPr>
          <w:b/>
          <w:bCs/>
        </w:rPr>
      </w:pPr>
      <w:r w:rsidRPr="00FD6434">
        <w:rPr>
          <w:b/>
          <w:bCs/>
          <w:caps/>
        </w:rPr>
        <w:t>nařízení města</w:t>
      </w:r>
      <w:r>
        <w:rPr>
          <w:b/>
          <w:bCs/>
        </w:rPr>
        <w:t xml:space="preserve"> č. </w:t>
      </w:r>
      <w:r w:rsidR="00CF2EBF">
        <w:rPr>
          <w:b/>
          <w:bCs/>
        </w:rPr>
        <w:t>3</w:t>
      </w:r>
      <w:r>
        <w:rPr>
          <w:b/>
          <w:bCs/>
        </w:rPr>
        <w:t>/2020</w:t>
      </w:r>
    </w:p>
    <w:p w14:paraId="11F2A764" w14:textId="77777777" w:rsidR="00B70496" w:rsidRPr="00C01581" w:rsidRDefault="0068708D" w:rsidP="00FD6434">
      <w:pPr>
        <w:pStyle w:val="Zkladntext"/>
        <w:jc w:val="center"/>
        <w:rPr>
          <w:rFonts w:ascii="Tahoma Bold" w:eastAsia="Tahoma Bold" w:hAnsi="Tahoma Bold" w:cs="Tahoma Bold"/>
          <w:sz w:val="21"/>
          <w:szCs w:val="21"/>
        </w:rPr>
      </w:pPr>
      <w:r w:rsidRPr="00C01581">
        <w:rPr>
          <w:rFonts w:ascii="Tahoma Bold" w:hAnsi="Tahoma Bold"/>
          <w:sz w:val="21"/>
          <w:szCs w:val="21"/>
        </w:rPr>
        <w:t>kterým se zakazuje reklama šířená na veřejně přístupný</w:t>
      </w:r>
      <w:r w:rsidR="00A26DE8" w:rsidRPr="00C01581">
        <w:rPr>
          <w:rFonts w:ascii="Tahoma Bold" w:hAnsi="Tahoma Bold"/>
          <w:sz w:val="21"/>
          <w:szCs w:val="21"/>
        </w:rPr>
        <w:t>ch</w:t>
      </w:r>
      <w:r w:rsidRPr="00C01581">
        <w:rPr>
          <w:rFonts w:ascii="Tahoma Bold" w:hAnsi="Tahoma Bold"/>
          <w:sz w:val="21"/>
          <w:szCs w:val="21"/>
        </w:rPr>
        <w:t xml:space="preserve"> místech mimo provozovnu</w:t>
      </w:r>
    </w:p>
    <w:p w14:paraId="250C4FA4" w14:textId="77777777" w:rsidR="00B70496" w:rsidRPr="00C01581" w:rsidRDefault="00B70496" w:rsidP="00FD6434">
      <w:pPr>
        <w:pStyle w:val="Zkladntext"/>
        <w:jc w:val="center"/>
        <w:rPr>
          <w:rFonts w:ascii="Tahoma Bold" w:eastAsia="Tahoma Bold" w:hAnsi="Tahoma Bold" w:cs="Tahoma Bold"/>
          <w:sz w:val="21"/>
          <w:szCs w:val="21"/>
        </w:rPr>
      </w:pPr>
    </w:p>
    <w:p w14:paraId="645815C7" w14:textId="77777777" w:rsidR="00B70496" w:rsidRPr="00C01581" w:rsidRDefault="00B70496" w:rsidP="00FD6434">
      <w:pPr>
        <w:pStyle w:val="Zkladntext"/>
        <w:jc w:val="center"/>
        <w:rPr>
          <w:rFonts w:ascii="Tahoma Bold" w:eastAsia="Tahoma Bold" w:hAnsi="Tahoma Bold" w:cs="Tahoma Bold"/>
          <w:sz w:val="21"/>
          <w:szCs w:val="21"/>
        </w:rPr>
      </w:pPr>
    </w:p>
    <w:p w14:paraId="22484CE9" w14:textId="6C4A75C0" w:rsidR="00B70496" w:rsidRPr="00C01581" w:rsidRDefault="0068708D" w:rsidP="00FD6434">
      <w:pPr>
        <w:pStyle w:val="Zkladntext"/>
        <w:rPr>
          <w:rFonts w:ascii="Tahoma" w:eastAsia="Tahoma" w:hAnsi="Tahoma" w:cs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Rad</w:t>
      </w:r>
      <w:r w:rsidR="00AD41E1">
        <w:rPr>
          <w:rFonts w:ascii="Tahoma" w:hAnsi="Tahoma"/>
          <w:sz w:val="21"/>
          <w:szCs w:val="21"/>
        </w:rPr>
        <w:t>a města Frýdku-Místku se na své 6</w:t>
      </w:r>
      <w:r w:rsidR="00271742">
        <w:rPr>
          <w:rFonts w:ascii="Tahoma" w:hAnsi="Tahoma"/>
          <w:sz w:val="21"/>
          <w:szCs w:val="21"/>
        </w:rPr>
        <w:t>4</w:t>
      </w:r>
      <w:r w:rsidR="00AD41E1">
        <w:rPr>
          <w:rFonts w:ascii="Tahoma" w:hAnsi="Tahoma"/>
          <w:sz w:val="21"/>
          <w:szCs w:val="21"/>
        </w:rPr>
        <w:t xml:space="preserve">. schůzi dne </w:t>
      </w:r>
      <w:r w:rsidR="00271742">
        <w:rPr>
          <w:rFonts w:ascii="Tahoma" w:hAnsi="Tahoma"/>
          <w:sz w:val="21"/>
          <w:szCs w:val="21"/>
        </w:rPr>
        <w:t>8</w:t>
      </w:r>
      <w:r w:rsidR="00AD41E1">
        <w:rPr>
          <w:rFonts w:ascii="Tahoma" w:hAnsi="Tahoma"/>
          <w:sz w:val="21"/>
          <w:szCs w:val="21"/>
        </w:rPr>
        <w:t>.</w:t>
      </w:r>
      <w:r w:rsidR="00CD6930">
        <w:rPr>
          <w:rFonts w:ascii="Tahoma" w:hAnsi="Tahoma"/>
          <w:sz w:val="21"/>
          <w:szCs w:val="21"/>
        </w:rPr>
        <w:t> </w:t>
      </w:r>
      <w:r w:rsidR="00AD41E1">
        <w:rPr>
          <w:rFonts w:ascii="Tahoma" w:hAnsi="Tahoma"/>
          <w:sz w:val="21"/>
          <w:szCs w:val="21"/>
        </w:rPr>
        <w:t>12.</w:t>
      </w:r>
      <w:r w:rsidR="00CD6930">
        <w:rPr>
          <w:rFonts w:ascii="Tahoma" w:hAnsi="Tahoma"/>
          <w:sz w:val="21"/>
          <w:szCs w:val="21"/>
        </w:rPr>
        <w:t> </w:t>
      </w:r>
      <w:r w:rsidR="00AD41E1">
        <w:rPr>
          <w:rFonts w:ascii="Tahoma" w:hAnsi="Tahoma"/>
          <w:sz w:val="21"/>
          <w:szCs w:val="21"/>
        </w:rPr>
        <w:t xml:space="preserve">2020 </w:t>
      </w:r>
      <w:r w:rsidRPr="00C01581">
        <w:rPr>
          <w:rFonts w:ascii="Tahoma" w:hAnsi="Tahoma"/>
          <w:sz w:val="21"/>
          <w:szCs w:val="21"/>
        </w:rPr>
        <w:t>usnesla vydat na</w:t>
      </w:r>
      <w:r w:rsidR="00FD6434">
        <w:rPr>
          <w:rFonts w:ascii="Tahoma" w:hAnsi="Tahoma"/>
          <w:sz w:val="21"/>
          <w:szCs w:val="21"/>
        </w:rPr>
        <w:t> </w:t>
      </w:r>
      <w:r w:rsidRPr="00C01581">
        <w:rPr>
          <w:rFonts w:ascii="Tahoma" w:hAnsi="Tahoma"/>
          <w:sz w:val="21"/>
          <w:szCs w:val="21"/>
        </w:rPr>
        <w:t>základě § 2 odst. 1 písm. d) a odst. 5 zákona č. 40/1995 Sb., o regulaci reklamy a o změně a</w:t>
      </w:r>
      <w:r w:rsidR="00FD6434">
        <w:rPr>
          <w:rFonts w:ascii="Tahoma" w:hAnsi="Tahoma"/>
          <w:sz w:val="21"/>
          <w:szCs w:val="21"/>
        </w:rPr>
        <w:t> </w:t>
      </w:r>
      <w:r w:rsidRPr="00C01581">
        <w:rPr>
          <w:rFonts w:ascii="Tahoma" w:hAnsi="Tahoma"/>
          <w:sz w:val="21"/>
          <w:szCs w:val="21"/>
        </w:rPr>
        <w:t>doplnění zákona č.</w:t>
      </w:r>
      <w:r w:rsidR="00B970F0">
        <w:rPr>
          <w:rFonts w:ascii="Tahoma" w:hAnsi="Tahoma"/>
          <w:sz w:val="21"/>
          <w:szCs w:val="21"/>
        </w:rPr>
        <w:t> </w:t>
      </w:r>
      <w:r w:rsidRPr="00C01581">
        <w:rPr>
          <w:rFonts w:ascii="Tahoma" w:hAnsi="Tahoma"/>
          <w:sz w:val="21"/>
          <w:szCs w:val="21"/>
        </w:rPr>
        <w:t>468/1991 Sb., o provozování rozhlasového a televizního vysílání, ve znění pozdějších předpisů, a v souladu s § 11 odst. 1 a § 102 odst. 2 písm. d)</w:t>
      </w:r>
      <w:r w:rsidRPr="00C01581">
        <w:rPr>
          <w:rFonts w:ascii="Tahoma Bold" w:hAnsi="Tahoma Bold"/>
          <w:color w:val="70AD47"/>
          <w:sz w:val="21"/>
          <w:szCs w:val="21"/>
          <w:u w:color="70AD47"/>
        </w:rPr>
        <w:t>,</w:t>
      </w:r>
      <w:r w:rsidRPr="00C01581">
        <w:rPr>
          <w:rFonts w:ascii="Tahoma" w:hAnsi="Tahoma"/>
          <w:sz w:val="21"/>
          <w:szCs w:val="21"/>
        </w:rPr>
        <w:t xml:space="preserve"> zákona č. 128/2000 Sb., o obcích (obecní zřízení), ve znění pozdějších předpisů, toto nařízení</w:t>
      </w:r>
      <w:r w:rsidR="00C01581">
        <w:rPr>
          <w:rFonts w:ascii="Tahoma" w:hAnsi="Tahoma"/>
          <w:sz w:val="21"/>
          <w:szCs w:val="21"/>
        </w:rPr>
        <w:t xml:space="preserve"> města (dále jen „nařízení“)</w:t>
      </w:r>
      <w:r w:rsidRPr="00C01581">
        <w:rPr>
          <w:rFonts w:ascii="Tahoma" w:hAnsi="Tahoma"/>
          <w:sz w:val="21"/>
          <w:szCs w:val="21"/>
        </w:rPr>
        <w:t>:</w:t>
      </w:r>
    </w:p>
    <w:p w14:paraId="4ABB4369" w14:textId="77777777" w:rsidR="00B70496" w:rsidRPr="00C01581" w:rsidRDefault="00B70496" w:rsidP="00FD6434">
      <w:pPr>
        <w:spacing w:after="0" w:line="240" w:lineRule="auto"/>
        <w:rPr>
          <w:rFonts w:ascii="Tahoma" w:eastAsia="Tahoma" w:hAnsi="Tahoma" w:cs="Tahoma"/>
          <w:sz w:val="21"/>
          <w:szCs w:val="21"/>
        </w:rPr>
      </w:pPr>
    </w:p>
    <w:p w14:paraId="0D15F8E7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1EFA5CA9" w14:textId="77777777" w:rsidR="00B70496" w:rsidRPr="00C01581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C01581">
        <w:rPr>
          <w:rFonts w:ascii="Tahoma Bold" w:hAnsi="Tahoma Bold"/>
          <w:b/>
          <w:sz w:val="21"/>
          <w:szCs w:val="21"/>
        </w:rPr>
        <w:t>Čl. 1</w:t>
      </w:r>
    </w:p>
    <w:p w14:paraId="05C16F5A" w14:textId="77777777" w:rsidR="00B70496" w:rsidRPr="00C01581" w:rsidRDefault="00C01581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>
        <w:rPr>
          <w:rFonts w:ascii="Tahoma Bold" w:hAnsi="Tahoma Bold"/>
          <w:b/>
          <w:sz w:val="21"/>
          <w:szCs w:val="21"/>
        </w:rPr>
        <w:t>Úvodní ustanovení</w:t>
      </w:r>
    </w:p>
    <w:p w14:paraId="68D98CC2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7CF9F019" w14:textId="77777777" w:rsidR="00B70496" w:rsidRPr="00FD6434" w:rsidRDefault="0068708D" w:rsidP="00FD64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  <w:r w:rsidRPr="00FD6434">
        <w:rPr>
          <w:rFonts w:ascii="Tahoma" w:hAnsi="Tahoma"/>
          <w:sz w:val="21"/>
          <w:szCs w:val="21"/>
        </w:rPr>
        <w:t>Toto nařízení stanoví zákaz reklamy</w:t>
      </w:r>
      <w:r w:rsidRPr="00C01581">
        <w:rPr>
          <w:rFonts w:eastAsia="Tahoma" w:cs="Tahoma"/>
          <w:vertAlign w:val="superscript"/>
        </w:rPr>
        <w:footnoteReference w:id="2"/>
      </w:r>
      <w:r w:rsidR="00FD6434">
        <w:rPr>
          <w:rFonts w:ascii="Tahoma" w:hAnsi="Tahoma"/>
          <w:sz w:val="21"/>
          <w:szCs w:val="21"/>
          <w:vertAlign w:val="superscript"/>
        </w:rPr>
        <w:t>)</w:t>
      </w:r>
      <w:r w:rsidRPr="00FD6434">
        <w:rPr>
          <w:rFonts w:ascii="Tahoma" w:hAnsi="Tahoma"/>
          <w:sz w:val="21"/>
          <w:szCs w:val="21"/>
        </w:rPr>
        <w:t xml:space="preserve"> šířené na veřejně přístupných místech mimo provozovnu</w:t>
      </w:r>
      <w:r w:rsidRPr="00C01581">
        <w:rPr>
          <w:rFonts w:eastAsia="Tahoma" w:cs="Tahoma"/>
          <w:vertAlign w:val="superscript"/>
        </w:rPr>
        <w:footnoteReference w:id="3"/>
      </w:r>
      <w:r w:rsidR="00FD6434">
        <w:rPr>
          <w:rFonts w:ascii="Tahoma" w:hAnsi="Tahoma"/>
          <w:sz w:val="21"/>
          <w:szCs w:val="21"/>
          <w:vertAlign w:val="superscript"/>
        </w:rPr>
        <w:t>)</w:t>
      </w:r>
      <w:r w:rsidRPr="00FD6434">
        <w:rPr>
          <w:rFonts w:ascii="Tahoma" w:hAnsi="Tahoma"/>
          <w:sz w:val="21"/>
          <w:szCs w:val="21"/>
        </w:rPr>
        <w:t xml:space="preserve"> uvedených v čl. 2 tohoto nařízení určenými komunikačními médii uvedenými v čl. 4 tohoto nařízení.</w:t>
      </w:r>
    </w:p>
    <w:p w14:paraId="1B7CF86E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2453457E" w14:textId="77777777" w:rsidR="00B70496" w:rsidRPr="00FD6434" w:rsidRDefault="0068708D" w:rsidP="00FD64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Veřejně přístupným místem mimo provozovnu (dále jen "veřejně přístupné místo") se pro účely tohoto nařízení rozumí všechna náměstí, ulice, tržiště, chodníky, veřejná zeleň, parky a další prostory přístupné každému bez omezení, tedy sloužící obecnému užívání, a to bez ohledu na vlastnictví k tomuto prostoru</w:t>
      </w:r>
      <w:r w:rsidR="00FF0C3D" w:rsidRPr="00C01581">
        <w:rPr>
          <w:rFonts w:ascii="Tahoma" w:hAnsi="Tahoma"/>
          <w:sz w:val="21"/>
          <w:szCs w:val="21"/>
        </w:rPr>
        <w:t>.</w:t>
      </w:r>
    </w:p>
    <w:p w14:paraId="299DA8B9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205E92A8" w14:textId="77777777" w:rsidR="00B70496" w:rsidRPr="00FD6434" w:rsidRDefault="0068708D" w:rsidP="00FD643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Pro účely tohoto nařízení se za reklamu nepovažují informační a navigační systémy primárně usnadňující veřejnosti orientaci a dostupnost cíle na území města.</w:t>
      </w:r>
    </w:p>
    <w:p w14:paraId="672CFB83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43B9D18B" w14:textId="77777777" w:rsidR="00B70496" w:rsidRPr="00C01581" w:rsidRDefault="0068708D" w:rsidP="00FD6434">
      <w:pPr>
        <w:spacing w:before="120"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C01581">
        <w:rPr>
          <w:rFonts w:ascii="Tahoma Bold" w:hAnsi="Tahoma Bold"/>
          <w:b/>
          <w:sz w:val="21"/>
          <w:szCs w:val="21"/>
        </w:rPr>
        <w:t>Čl. 2</w:t>
      </w:r>
    </w:p>
    <w:p w14:paraId="4AA88C20" w14:textId="77777777" w:rsidR="00B70496" w:rsidRDefault="0068708D" w:rsidP="00FD6434">
      <w:pPr>
        <w:spacing w:after="0" w:line="240" w:lineRule="auto"/>
        <w:jc w:val="center"/>
        <w:rPr>
          <w:rFonts w:ascii="Tahoma Bold" w:hAnsi="Tahoma Bold" w:hint="eastAsia"/>
          <w:b/>
          <w:sz w:val="21"/>
          <w:szCs w:val="21"/>
        </w:rPr>
      </w:pPr>
      <w:r w:rsidRPr="00C01581">
        <w:rPr>
          <w:rFonts w:ascii="Tahoma Bold" w:hAnsi="Tahoma Bold"/>
          <w:b/>
          <w:sz w:val="21"/>
          <w:szCs w:val="21"/>
        </w:rPr>
        <w:t>Veřejně přístupná místa, na nichž je reklama zakázána</w:t>
      </w:r>
    </w:p>
    <w:p w14:paraId="3F147E2B" w14:textId="77777777" w:rsidR="00A6167E" w:rsidRPr="00C01581" w:rsidRDefault="00A6167E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</w:p>
    <w:p w14:paraId="10390999" w14:textId="77777777" w:rsidR="00B70496" w:rsidRPr="00FD6434" w:rsidRDefault="0068708D" w:rsidP="00FD6434">
      <w:pPr>
        <w:pStyle w:val="Odstavecseseznamem"/>
        <w:numPr>
          <w:ilvl w:val="0"/>
          <w:numId w:val="5"/>
        </w:numPr>
        <w:spacing w:after="0" w:line="240" w:lineRule="auto"/>
        <w:ind w:left="419" w:hanging="357"/>
        <w:jc w:val="both"/>
        <w:rPr>
          <w:rFonts w:ascii="Tahoma" w:hAnsi="Tahoma" w:cs="Tahoma"/>
          <w:sz w:val="21"/>
          <w:szCs w:val="21"/>
        </w:rPr>
      </w:pPr>
      <w:r w:rsidRPr="00FD6434">
        <w:rPr>
          <w:rFonts w:ascii="Tahoma" w:hAnsi="Tahoma" w:cs="Tahoma"/>
          <w:sz w:val="21"/>
          <w:szCs w:val="21"/>
        </w:rPr>
        <w:t>Reklama šířená komunikačními médii na veřejně přístupných místech jiným způsobem než prostřednictvím reklamního nebo propagačního zařízení zřízeného podle zvláštního právního předpisu, se zakazuje na území městsk</w:t>
      </w:r>
      <w:r w:rsidR="00C77F40" w:rsidRPr="00FD6434">
        <w:rPr>
          <w:rFonts w:ascii="Tahoma" w:hAnsi="Tahoma" w:cs="Tahoma"/>
          <w:sz w:val="21"/>
          <w:szCs w:val="21"/>
        </w:rPr>
        <w:t>é</w:t>
      </w:r>
      <w:r w:rsidRPr="00FD6434">
        <w:rPr>
          <w:rFonts w:ascii="Tahoma" w:hAnsi="Tahoma" w:cs="Tahoma"/>
          <w:sz w:val="21"/>
          <w:szCs w:val="21"/>
        </w:rPr>
        <w:t xml:space="preserve"> památkov</w:t>
      </w:r>
      <w:r w:rsidR="00C77F40" w:rsidRPr="00FD6434">
        <w:rPr>
          <w:rFonts w:ascii="Tahoma" w:hAnsi="Tahoma" w:cs="Tahoma"/>
          <w:sz w:val="21"/>
          <w:szCs w:val="21"/>
        </w:rPr>
        <w:t>é</w:t>
      </w:r>
      <w:r w:rsidRPr="00FD6434">
        <w:rPr>
          <w:rFonts w:ascii="Tahoma" w:hAnsi="Tahoma" w:cs="Tahoma"/>
          <w:sz w:val="21"/>
          <w:szCs w:val="21"/>
        </w:rPr>
        <w:t xml:space="preserve"> zón</w:t>
      </w:r>
      <w:r w:rsidR="00C77F40" w:rsidRPr="00FD6434">
        <w:rPr>
          <w:rFonts w:ascii="Tahoma" w:hAnsi="Tahoma" w:cs="Tahoma"/>
          <w:sz w:val="21"/>
          <w:szCs w:val="21"/>
        </w:rPr>
        <w:t>y</w:t>
      </w:r>
      <w:r w:rsidRPr="00FD6434">
        <w:rPr>
          <w:rFonts w:ascii="Tahoma" w:hAnsi="Tahoma" w:cs="Tahoma"/>
          <w:sz w:val="21"/>
          <w:szCs w:val="21"/>
        </w:rPr>
        <w:t xml:space="preserve"> Frýdek</w:t>
      </w:r>
      <w:r w:rsidR="00C77F40" w:rsidRPr="00FD6434">
        <w:rPr>
          <w:rFonts w:ascii="Tahoma" w:hAnsi="Tahoma" w:cs="Tahoma"/>
          <w:sz w:val="21"/>
          <w:szCs w:val="21"/>
        </w:rPr>
        <w:t xml:space="preserve"> a</w:t>
      </w:r>
      <w:r w:rsidRPr="00FD6434">
        <w:rPr>
          <w:rFonts w:ascii="Tahoma" w:hAnsi="Tahoma" w:cs="Tahoma"/>
          <w:sz w:val="21"/>
          <w:szCs w:val="21"/>
        </w:rPr>
        <w:t xml:space="preserve"> městsk</w:t>
      </w:r>
      <w:r w:rsidR="00C77F40" w:rsidRPr="00FD6434">
        <w:rPr>
          <w:rFonts w:ascii="Tahoma" w:hAnsi="Tahoma" w:cs="Tahoma"/>
          <w:sz w:val="21"/>
          <w:szCs w:val="21"/>
        </w:rPr>
        <w:t>é</w:t>
      </w:r>
      <w:r w:rsidRPr="00FD6434">
        <w:rPr>
          <w:rFonts w:ascii="Tahoma" w:hAnsi="Tahoma" w:cs="Tahoma"/>
          <w:sz w:val="21"/>
          <w:szCs w:val="21"/>
        </w:rPr>
        <w:t xml:space="preserve"> památkov</w:t>
      </w:r>
      <w:r w:rsidR="00C77F40" w:rsidRPr="00FD6434">
        <w:rPr>
          <w:rFonts w:ascii="Tahoma" w:hAnsi="Tahoma" w:cs="Tahoma"/>
          <w:sz w:val="21"/>
          <w:szCs w:val="21"/>
        </w:rPr>
        <w:t>é</w:t>
      </w:r>
      <w:r w:rsidRPr="00FD6434">
        <w:rPr>
          <w:rFonts w:ascii="Tahoma" w:hAnsi="Tahoma" w:cs="Tahoma"/>
          <w:sz w:val="21"/>
          <w:szCs w:val="21"/>
        </w:rPr>
        <w:t xml:space="preserve"> zón</w:t>
      </w:r>
      <w:r w:rsidR="00C77F40" w:rsidRPr="00FD6434">
        <w:rPr>
          <w:rFonts w:ascii="Tahoma" w:hAnsi="Tahoma" w:cs="Tahoma"/>
          <w:sz w:val="21"/>
          <w:szCs w:val="21"/>
        </w:rPr>
        <w:t>y</w:t>
      </w:r>
      <w:r w:rsidRPr="00FD6434">
        <w:rPr>
          <w:rFonts w:ascii="Tahoma" w:hAnsi="Tahoma" w:cs="Tahoma"/>
          <w:sz w:val="21"/>
          <w:szCs w:val="21"/>
        </w:rPr>
        <w:t xml:space="preserve"> Místek</w:t>
      </w:r>
      <w:r w:rsidR="00C77F40" w:rsidRPr="00FD6434">
        <w:rPr>
          <w:rFonts w:ascii="Tahoma" w:hAnsi="Tahoma" w:cs="Tahoma"/>
          <w:sz w:val="21"/>
          <w:szCs w:val="21"/>
        </w:rPr>
        <w:t>.</w:t>
      </w:r>
      <w:r w:rsidR="00B774A4" w:rsidRPr="00FD6434">
        <w:rPr>
          <w:vertAlign w:val="superscript"/>
        </w:rPr>
        <w:footnoteReference w:id="4"/>
      </w:r>
      <w:r w:rsidR="00FD6434" w:rsidRPr="00FD6434">
        <w:rPr>
          <w:rFonts w:ascii="Tahoma" w:hAnsi="Tahoma" w:cs="Tahoma"/>
          <w:sz w:val="21"/>
          <w:szCs w:val="21"/>
          <w:vertAlign w:val="superscript"/>
        </w:rPr>
        <w:t>)</w:t>
      </w:r>
    </w:p>
    <w:p w14:paraId="7731DB1D" w14:textId="77777777" w:rsidR="00B70496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4EAFF201" w14:textId="77777777" w:rsidR="00B70496" w:rsidRPr="00C12A68" w:rsidRDefault="0068708D" w:rsidP="00FD6434">
      <w:pPr>
        <w:spacing w:before="120"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C12A68">
        <w:rPr>
          <w:rFonts w:ascii="Tahoma Bold" w:hAnsi="Tahoma Bold"/>
          <w:b/>
          <w:sz w:val="21"/>
          <w:szCs w:val="21"/>
        </w:rPr>
        <w:t>Čl. 3</w:t>
      </w:r>
    </w:p>
    <w:p w14:paraId="4EE3DD9D" w14:textId="77777777" w:rsidR="00B70496" w:rsidRPr="00C12A68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C12A68">
        <w:rPr>
          <w:rFonts w:ascii="Tahoma Bold" w:hAnsi="Tahoma Bold"/>
          <w:b/>
          <w:sz w:val="21"/>
          <w:szCs w:val="21"/>
        </w:rPr>
        <w:t>Doba, v níž je reklama zakázána</w:t>
      </w:r>
    </w:p>
    <w:p w14:paraId="16B9B44B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6D465611" w14:textId="77777777" w:rsidR="00B70496" w:rsidRPr="00C01581" w:rsidRDefault="0068708D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Reklama podle čl. 1 je zakázána v době od 0:00 hodin do 24:00 hodin.</w:t>
      </w:r>
    </w:p>
    <w:p w14:paraId="3E60CC8D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22941929" w14:textId="77777777" w:rsidR="00B70496" w:rsidRPr="00C12A68" w:rsidRDefault="0068708D" w:rsidP="00480CA5">
      <w:pPr>
        <w:spacing w:before="120"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C12A68">
        <w:rPr>
          <w:rFonts w:ascii="Tahoma Bold" w:hAnsi="Tahoma Bold"/>
          <w:b/>
          <w:sz w:val="21"/>
          <w:szCs w:val="21"/>
        </w:rPr>
        <w:t>Čl. 4</w:t>
      </w:r>
    </w:p>
    <w:p w14:paraId="26960EDD" w14:textId="77777777" w:rsidR="00B70496" w:rsidRPr="00C12A68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C12A68">
        <w:rPr>
          <w:rFonts w:ascii="Tahoma Bold" w:hAnsi="Tahoma Bold"/>
          <w:b/>
          <w:sz w:val="21"/>
          <w:szCs w:val="21"/>
        </w:rPr>
        <w:t>Druhy komunikačních médií, kterými nesmí být reklama šířena</w:t>
      </w:r>
    </w:p>
    <w:p w14:paraId="65C50D5F" w14:textId="77777777" w:rsidR="00B70496" w:rsidRPr="00C12A68" w:rsidRDefault="00B70496" w:rsidP="00FD6434">
      <w:pPr>
        <w:spacing w:after="0" w:line="240" w:lineRule="auto"/>
        <w:jc w:val="both"/>
        <w:rPr>
          <w:rFonts w:ascii="Tahoma" w:eastAsia="Tahoma" w:hAnsi="Tahoma" w:cs="Tahoma"/>
          <w:b/>
          <w:sz w:val="21"/>
          <w:szCs w:val="21"/>
        </w:rPr>
      </w:pPr>
    </w:p>
    <w:p w14:paraId="539EF497" w14:textId="77777777" w:rsidR="00B70496" w:rsidRPr="00C01581" w:rsidRDefault="0068708D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Komunikačními médii, kterými nesmí být šířena reklama na veřejně přístupných místech, jsou</w:t>
      </w:r>
      <w:r w:rsidR="00C674DC">
        <w:rPr>
          <w:rFonts w:ascii="Tahoma" w:hAnsi="Tahoma"/>
          <w:sz w:val="21"/>
          <w:szCs w:val="21"/>
        </w:rPr>
        <w:t>:</w:t>
      </w:r>
    </w:p>
    <w:p w14:paraId="141A2118" w14:textId="77777777" w:rsidR="00B70496" w:rsidRPr="00C01581" w:rsidRDefault="00B70496" w:rsidP="00FD6434">
      <w:pPr>
        <w:spacing w:after="0" w:line="240" w:lineRule="auto"/>
        <w:ind w:left="567"/>
        <w:jc w:val="both"/>
        <w:rPr>
          <w:rFonts w:ascii="Tahoma" w:eastAsia="Tahoma" w:hAnsi="Tahoma" w:cs="Tahoma"/>
          <w:sz w:val="21"/>
          <w:szCs w:val="21"/>
        </w:rPr>
      </w:pPr>
    </w:p>
    <w:p w14:paraId="49746032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lastRenderedPageBreak/>
        <w:t xml:space="preserve">plakáty, polepy a plachty na mobiliáři, stožárech, mostních konstrukcích a sloupech, na ohrazení venkovních restauračních zahrádek a předzahrádek, </w:t>
      </w:r>
    </w:p>
    <w:p w14:paraId="109B4D23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velkoplošné reklamy na markýzách a slunečnících na venkovních restauračních zahrádkách a předzahrádkách, vyjma reklamních nápisů a log na volánech a lemech markýz a slunečníků</w:t>
      </w:r>
      <w:r w:rsidR="00C674DC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,</w:t>
      </w:r>
    </w:p>
    <w:p w14:paraId="30EAEB91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vlajky a prapory, které nejsou vynášeny za pomoci stožárů pro vlajky,</w:t>
      </w:r>
    </w:p>
    <w:p w14:paraId="3F5BE7D4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upoutané balony nebo jiné tvary nesené, opřené, zavěšené včetně jejich osvětlení,</w:t>
      </w:r>
    </w:p>
    <w:p w14:paraId="43D974CD" w14:textId="77777777" w:rsidR="00B70496" w:rsidRPr="00480CA5" w:rsidRDefault="00480CA5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u</w:t>
      </w:r>
      <w:r w:rsidR="0068708D"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 xml:space="preserve">liční </w:t>
      </w:r>
      <w:proofErr w:type="spellStart"/>
      <w:r w:rsidR="0068708D"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převěsy</w:t>
      </w:r>
      <w:proofErr w:type="spellEnd"/>
      <w:r w:rsidR="0068708D"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 xml:space="preserve"> pro plachty a plachty z jakéhokoliv materiálu upevněné či zavěšené na stavbách, sochách, stromech, stožárech či sloupech,</w:t>
      </w:r>
    </w:p>
    <w:p w14:paraId="0862AC93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dopravní prostředky umístěné na veřejně přístupných místech za účelem šíření reklamy a dopravní prostředky, u nichž je hlavním účelem jízdy šíření reklamy, včetně dodatečných konstrukcí na dopravních prostředcích,</w:t>
      </w:r>
    </w:p>
    <w:p w14:paraId="4C833D8C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vnější polepy výloh a dalších skleněných ploch s výjimkou polepů výkladců a prosklených vstupních dveří do provozovny provedených v tlumených barevných odstínech bez použití reflexních, fluorescenčních či ostře kontrastních barev, nepřesahující svým rozsahem 1/3 prosklení výkladce či dveří,</w:t>
      </w:r>
    </w:p>
    <w:p w14:paraId="61DCFBE6" w14:textId="77777777" w:rsidR="00B70496" w:rsidRPr="00480CA5" w:rsidRDefault="0068708D" w:rsidP="00480CA5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reklamní zařízení o celkové ploše do 0,6 m</w:t>
      </w: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vertAlign w:val="superscript"/>
          <w:lang w:eastAsia="en-US"/>
        </w:rPr>
        <w:t>2</w:t>
      </w: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 xml:space="preserve">, mimo přenosné „A“ tabule, umisťované před vlastní provozovnou pro účely této provozovny, povolené v režimu zvláštního užívání dle zákona </w:t>
      </w:r>
      <w:r w:rsidR="00702563"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č.</w:t>
      </w:r>
      <w:r w:rsid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 xml:space="preserve"> </w:t>
      </w:r>
      <w:r w:rsidR="00702563"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 xml:space="preserve">13/1997 Sb., </w:t>
      </w: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o pozemních komunikacích</w:t>
      </w:r>
      <w:r w:rsid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, ve znění pozdějších předpisů</w:t>
      </w:r>
      <w:r w:rsidR="00702563"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; n</w:t>
      </w:r>
      <w:r w:rsidRPr="00480CA5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evztahuje se na povolené označení provozovny.</w:t>
      </w:r>
    </w:p>
    <w:p w14:paraId="75B890CD" w14:textId="77777777" w:rsidR="00B70496" w:rsidRPr="00C01581" w:rsidRDefault="00B70496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4497F80A" w14:textId="77777777" w:rsidR="00B70496" w:rsidRPr="00702563" w:rsidRDefault="0068708D" w:rsidP="0003360C">
      <w:pPr>
        <w:spacing w:before="120"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702563">
        <w:rPr>
          <w:rFonts w:ascii="Tahoma Bold" w:hAnsi="Tahoma Bold"/>
          <w:b/>
          <w:sz w:val="21"/>
          <w:szCs w:val="21"/>
        </w:rPr>
        <w:t>Čl. 5</w:t>
      </w:r>
    </w:p>
    <w:p w14:paraId="1513834F" w14:textId="77777777" w:rsidR="00B70496" w:rsidRPr="00702563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702563">
        <w:rPr>
          <w:rFonts w:ascii="Tahoma Bold" w:hAnsi="Tahoma Bold"/>
          <w:b/>
          <w:sz w:val="21"/>
          <w:szCs w:val="21"/>
        </w:rPr>
        <w:t>Akce, na něž se zákaz šíření reklamy nevztahuje</w:t>
      </w:r>
    </w:p>
    <w:p w14:paraId="28A121DA" w14:textId="77777777" w:rsidR="00271742" w:rsidRDefault="00271742" w:rsidP="00271742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33E28B39" w14:textId="2BCC6A1C" w:rsidR="00271742" w:rsidRPr="00C01581" w:rsidRDefault="00271742" w:rsidP="00DD0327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  <w:r w:rsidRPr="00271742">
        <w:rPr>
          <w:rFonts w:ascii="Tahoma" w:eastAsia="Tahoma" w:hAnsi="Tahoma" w:cs="Tahoma"/>
          <w:sz w:val="21"/>
          <w:szCs w:val="21"/>
        </w:rPr>
        <w:t>Akce, na něž se zákaz šíření reklamy nevztahuje</w:t>
      </w:r>
      <w:r>
        <w:rPr>
          <w:rFonts w:ascii="Tahoma" w:eastAsia="Tahoma" w:hAnsi="Tahoma" w:cs="Tahoma"/>
          <w:sz w:val="21"/>
          <w:szCs w:val="21"/>
        </w:rPr>
        <w:t>:</w:t>
      </w:r>
    </w:p>
    <w:p w14:paraId="1503DB4F" w14:textId="77777777" w:rsidR="00B70496" w:rsidRPr="00271742" w:rsidRDefault="0068708D" w:rsidP="00DD0327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veřejné sbírky pořádané podle zvláštního předpisu</w:t>
      </w:r>
      <w:r w:rsidRP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vertAlign w:val="superscript"/>
          <w:lang w:eastAsia="en-US"/>
        </w:rPr>
        <w:footnoteReference w:id="5"/>
      </w:r>
      <w:r w:rsidR="0003360C" w:rsidRP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vertAlign w:val="superscript"/>
          <w:lang w:eastAsia="en-US"/>
        </w:rPr>
        <w:t>)</w:t>
      </w:r>
      <w:r w:rsidR="00C674DC" w:rsidRP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,</w:t>
      </w:r>
    </w:p>
    <w:p w14:paraId="500111C2" w14:textId="77777777" w:rsidR="00B70496" w:rsidRPr="00271742" w:rsidRDefault="00B70496" w:rsidP="00DD0327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ind w:left="714" w:hanging="357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sectPr w:rsidR="00B70496" w:rsidRPr="00271742" w:rsidSect="00934341">
          <w:footerReference w:type="default" r:id="rId8"/>
          <w:pgSz w:w="11900" w:h="16840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14:paraId="541311D2" w14:textId="77777777" w:rsidR="00B70496" w:rsidRPr="00271742" w:rsidRDefault="0068708D" w:rsidP="00271742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contextualSpacing w:val="0"/>
        <w:jc w:val="both"/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</w:pPr>
      <w:r w:rsidRPr="00271742">
        <w:rPr>
          <w:rFonts w:ascii="Tahoma" w:eastAsiaTheme="minorEastAsia" w:hAnsi="Tahoma" w:cs="Tahoma"/>
          <w:color w:val="auto"/>
          <w:sz w:val="21"/>
          <w:szCs w:val="21"/>
          <w:bdr w:val="none" w:sz="0" w:space="0" w:color="auto"/>
          <w:lang w:eastAsia="en-US"/>
        </w:rPr>
        <w:t>charitativní akce, shromáždění, pouliční průvody a manifestace svolané podle zvláštního právního předpisu.</w:t>
      </w:r>
    </w:p>
    <w:p w14:paraId="7A9F9707" w14:textId="77777777" w:rsidR="00A6167E" w:rsidRPr="00C01581" w:rsidRDefault="00A6167E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5771DD67" w14:textId="77777777" w:rsidR="00B70496" w:rsidRPr="00702563" w:rsidRDefault="0068708D" w:rsidP="0003360C">
      <w:pPr>
        <w:spacing w:before="120"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702563">
        <w:rPr>
          <w:rFonts w:ascii="Tahoma Bold" w:hAnsi="Tahoma Bold"/>
          <w:b/>
          <w:sz w:val="21"/>
          <w:szCs w:val="21"/>
        </w:rPr>
        <w:t>Čl. 6</w:t>
      </w:r>
    </w:p>
    <w:p w14:paraId="4647ADFB" w14:textId="77777777" w:rsidR="00B70496" w:rsidRPr="00702563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702563">
        <w:rPr>
          <w:rFonts w:ascii="Tahoma Bold" w:hAnsi="Tahoma Bold"/>
          <w:b/>
          <w:sz w:val="21"/>
          <w:szCs w:val="21"/>
        </w:rPr>
        <w:t>Přechodná a závěrečná ustanovení</w:t>
      </w:r>
    </w:p>
    <w:p w14:paraId="46EA4FCC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2604283E" w14:textId="77777777" w:rsidR="00B70496" w:rsidRPr="0003360C" w:rsidRDefault="0068708D" w:rsidP="0003360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/>
          <w:sz w:val="21"/>
          <w:szCs w:val="21"/>
          <w:shd w:val="clear" w:color="auto" w:fill="FFFF00"/>
        </w:rPr>
      </w:pPr>
      <w:r w:rsidRPr="0003360C">
        <w:rPr>
          <w:rFonts w:ascii="Tahoma" w:hAnsi="Tahoma"/>
          <w:sz w:val="21"/>
          <w:szCs w:val="21"/>
        </w:rPr>
        <w:t xml:space="preserve">Stávající komunikační média, která </w:t>
      </w:r>
      <w:r w:rsidR="00F21293" w:rsidRPr="0003360C">
        <w:rPr>
          <w:rFonts w:ascii="Tahoma" w:hAnsi="Tahoma"/>
          <w:sz w:val="21"/>
          <w:szCs w:val="21"/>
        </w:rPr>
        <w:t>budou</w:t>
      </w:r>
      <w:r w:rsidRPr="0003360C">
        <w:rPr>
          <w:rFonts w:ascii="Tahoma" w:hAnsi="Tahoma"/>
          <w:sz w:val="21"/>
          <w:szCs w:val="21"/>
        </w:rPr>
        <w:t xml:space="preserve"> ode dne nabytí účinnosti tohoto nařízení s tímto nařízením v rozporu, je nutno na místech uvedených v čl. 2 odstranit</w:t>
      </w:r>
      <w:r w:rsidR="0003360C">
        <w:rPr>
          <w:rFonts w:ascii="Tahoma" w:hAnsi="Tahoma"/>
          <w:sz w:val="21"/>
          <w:szCs w:val="21"/>
        </w:rPr>
        <w:t>,</w:t>
      </w:r>
      <w:r w:rsidRPr="0003360C">
        <w:rPr>
          <w:rFonts w:ascii="Tahoma" w:hAnsi="Tahoma"/>
          <w:sz w:val="21"/>
          <w:szCs w:val="21"/>
        </w:rPr>
        <w:t xml:space="preserve"> a to nej</w:t>
      </w:r>
      <w:r w:rsidR="00F21293" w:rsidRPr="0003360C">
        <w:rPr>
          <w:rFonts w:ascii="Tahoma" w:hAnsi="Tahoma"/>
          <w:sz w:val="21"/>
          <w:szCs w:val="21"/>
        </w:rPr>
        <w:t>později</w:t>
      </w:r>
      <w:r w:rsidR="00A6167E" w:rsidRPr="0003360C">
        <w:rPr>
          <w:rFonts w:ascii="Tahoma" w:hAnsi="Tahoma"/>
          <w:sz w:val="21"/>
          <w:szCs w:val="21"/>
        </w:rPr>
        <w:t xml:space="preserve"> do</w:t>
      </w:r>
      <w:r w:rsidR="0003360C">
        <w:rPr>
          <w:rFonts w:ascii="Tahoma" w:hAnsi="Tahoma"/>
          <w:sz w:val="21"/>
          <w:szCs w:val="21"/>
        </w:rPr>
        <w:t> </w:t>
      </w:r>
      <w:r w:rsidR="00A6167E" w:rsidRPr="0003360C">
        <w:rPr>
          <w:rFonts w:ascii="Tahoma" w:hAnsi="Tahoma"/>
          <w:sz w:val="21"/>
          <w:szCs w:val="21"/>
        </w:rPr>
        <w:t>30.</w:t>
      </w:r>
      <w:r w:rsidR="0003360C">
        <w:rPr>
          <w:rFonts w:ascii="Tahoma" w:hAnsi="Tahoma"/>
          <w:sz w:val="21"/>
          <w:szCs w:val="21"/>
        </w:rPr>
        <w:t> </w:t>
      </w:r>
      <w:r w:rsidR="00A6167E" w:rsidRPr="0003360C">
        <w:rPr>
          <w:rFonts w:ascii="Tahoma" w:hAnsi="Tahoma"/>
          <w:sz w:val="21"/>
          <w:szCs w:val="21"/>
        </w:rPr>
        <w:t>6.</w:t>
      </w:r>
      <w:r w:rsidR="0003360C">
        <w:rPr>
          <w:rFonts w:ascii="Tahoma" w:hAnsi="Tahoma"/>
          <w:sz w:val="21"/>
          <w:szCs w:val="21"/>
        </w:rPr>
        <w:t> </w:t>
      </w:r>
      <w:r w:rsidR="00D55B2E">
        <w:rPr>
          <w:rFonts w:ascii="Tahoma" w:hAnsi="Tahoma"/>
          <w:sz w:val="21"/>
          <w:szCs w:val="21"/>
        </w:rPr>
        <w:t>2021</w:t>
      </w:r>
      <w:r w:rsidR="0003360C">
        <w:rPr>
          <w:rFonts w:ascii="Tahoma" w:hAnsi="Tahoma"/>
          <w:sz w:val="21"/>
          <w:szCs w:val="21"/>
        </w:rPr>
        <w:t>.</w:t>
      </w:r>
    </w:p>
    <w:p w14:paraId="088891EB" w14:textId="77777777" w:rsidR="00C12A68" w:rsidRPr="00C01581" w:rsidRDefault="00C12A68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7A528B1B" w14:textId="77777777" w:rsidR="00B70496" w:rsidRPr="00C674DC" w:rsidRDefault="0068708D" w:rsidP="00C674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Stávající velkoplošné reklamy na markýzách a slunečnících na venkovních restauračních zahrádkách a předzahrádkách, která jsou ode dne nabytí účinnosti tohoto nařízení s tímto nařízením v rozporu, je nutno na místech uvedených v čl. 2 odstranit</w:t>
      </w:r>
      <w:r w:rsidR="00C674DC">
        <w:rPr>
          <w:rFonts w:ascii="Tahoma" w:hAnsi="Tahoma"/>
          <w:sz w:val="21"/>
          <w:szCs w:val="21"/>
        </w:rPr>
        <w:t>,</w:t>
      </w:r>
      <w:r w:rsidRPr="00C01581">
        <w:rPr>
          <w:rFonts w:ascii="Tahoma" w:hAnsi="Tahoma"/>
          <w:sz w:val="21"/>
          <w:szCs w:val="21"/>
        </w:rPr>
        <w:t xml:space="preserve"> a to nej</w:t>
      </w:r>
      <w:r w:rsidR="00F21293" w:rsidRPr="00C01581">
        <w:rPr>
          <w:rFonts w:ascii="Tahoma" w:hAnsi="Tahoma"/>
          <w:sz w:val="21"/>
          <w:szCs w:val="21"/>
        </w:rPr>
        <w:t>později</w:t>
      </w:r>
      <w:r w:rsidRPr="00C01581">
        <w:rPr>
          <w:rFonts w:ascii="Tahoma" w:hAnsi="Tahoma"/>
          <w:sz w:val="21"/>
          <w:szCs w:val="21"/>
        </w:rPr>
        <w:t xml:space="preserve"> </w:t>
      </w:r>
      <w:r w:rsidR="00A6167E">
        <w:rPr>
          <w:rFonts w:ascii="Tahoma" w:hAnsi="Tahoma"/>
          <w:sz w:val="21"/>
          <w:szCs w:val="21"/>
        </w:rPr>
        <w:t>do</w:t>
      </w:r>
      <w:r w:rsidR="00C674DC">
        <w:rPr>
          <w:rFonts w:ascii="Tahoma" w:hAnsi="Tahoma"/>
          <w:sz w:val="21"/>
          <w:szCs w:val="21"/>
        </w:rPr>
        <w:t> </w:t>
      </w:r>
      <w:r w:rsidR="00A6167E">
        <w:rPr>
          <w:rFonts w:ascii="Tahoma" w:hAnsi="Tahoma"/>
          <w:sz w:val="21"/>
          <w:szCs w:val="21"/>
        </w:rPr>
        <w:t>31.</w:t>
      </w:r>
      <w:r w:rsidR="00C674DC">
        <w:rPr>
          <w:rFonts w:ascii="Tahoma" w:hAnsi="Tahoma"/>
          <w:sz w:val="21"/>
          <w:szCs w:val="21"/>
        </w:rPr>
        <w:t> </w:t>
      </w:r>
      <w:r w:rsidR="00A6167E">
        <w:rPr>
          <w:rFonts w:ascii="Tahoma" w:hAnsi="Tahoma"/>
          <w:sz w:val="21"/>
          <w:szCs w:val="21"/>
        </w:rPr>
        <w:t>12.</w:t>
      </w:r>
      <w:r w:rsidR="00C674DC">
        <w:rPr>
          <w:rFonts w:ascii="Tahoma" w:hAnsi="Tahoma"/>
          <w:sz w:val="21"/>
          <w:szCs w:val="21"/>
        </w:rPr>
        <w:t> </w:t>
      </w:r>
      <w:r w:rsidR="00A6167E">
        <w:rPr>
          <w:rFonts w:ascii="Tahoma" w:hAnsi="Tahoma"/>
          <w:sz w:val="21"/>
          <w:szCs w:val="21"/>
        </w:rPr>
        <w:t>2022</w:t>
      </w:r>
      <w:r w:rsidR="00C674DC">
        <w:rPr>
          <w:rFonts w:ascii="Tahoma" w:hAnsi="Tahoma"/>
          <w:sz w:val="21"/>
          <w:szCs w:val="21"/>
        </w:rPr>
        <w:t>.</w:t>
      </w:r>
    </w:p>
    <w:p w14:paraId="4BAF877D" w14:textId="77777777" w:rsidR="00C12A68" w:rsidRPr="00C01581" w:rsidRDefault="00C12A68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27EDA9D7" w14:textId="77777777" w:rsidR="00B70496" w:rsidRPr="00C674DC" w:rsidRDefault="0068708D" w:rsidP="00C674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Porušení tohoto nařízení se postihuje podle zvláštních právních předpisů.</w:t>
      </w:r>
    </w:p>
    <w:p w14:paraId="6399785E" w14:textId="77777777" w:rsidR="00A6167E" w:rsidRDefault="00A6167E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11AB9122" w14:textId="77777777" w:rsidR="00C674DC" w:rsidRDefault="00C674DC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7DEB76CD" w14:textId="77777777" w:rsidR="00C674DC" w:rsidRDefault="00C674DC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4D39922E" w14:textId="77777777" w:rsidR="00C674DC" w:rsidRDefault="00C674DC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34A9C45B" w14:textId="77777777" w:rsidR="00A6167E" w:rsidRPr="00C01581" w:rsidRDefault="00A6167E" w:rsidP="00FD6434">
      <w:pPr>
        <w:spacing w:after="0" w:line="240" w:lineRule="auto"/>
        <w:jc w:val="both"/>
        <w:rPr>
          <w:rFonts w:ascii="Tahoma Bold" w:eastAsia="Tahoma Bold" w:hAnsi="Tahoma Bold" w:cs="Tahoma Bold"/>
          <w:sz w:val="21"/>
          <w:szCs w:val="21"/>
        </w:rPr>
      </w:pPr>
    </w:p>
    <w:p w14:paraId="6FDEA222" w14:textId="77777777" w:rsidR="00B70496" w:rsidRPr="001B7AEC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1B7AEC">
        <w:rPr>
          <w:rFonts w:ascii="Tahoma Bold" w:hAnsi="Tahoma Bold"/>
          <w:b/>
          <w:sz w:val="21"/>
          <w:szCs w:val="21"/>
        </w:rPr>
        <w:t>Čl. 7</w:t>
      </w:r>
    </w:p>
    <w:p w14:paraId="4AFEF2B4" w14:textId="77777777" w:rsidR="00B70496" w:rsidRPr="001B7AEC" w:rsidRDefault="0068708D" w:rsidP="00FD6434">
      <w:pPr>
        <w:spacing w:after="0" w:line="240" w:lineRule="auto"/>
        <w:jc w:val="center"/>
        <w:rPr>
          <w:rFonts w:ascii="Tahoma Bold" w:eastAsia="Tahoma Bold" w:hAnsi="Tahoma Bold" w:cs="Tahoma Bold"/>
          <w:b/>
          <w:sz w:val="21"/>
          <w:szCs w:val="21"/>
        </w:rPr>
      </w:pPr>
      <w:r w:rsidRPr="001B7AEC">
        <w:rPr>
          <w:rFonts w:ascii="Tahoma Bold" w:hAnsi="Tahoma Bold"/>
          <w:b/>
          <w:sz w:val="21"/>
          <w:szCs w:val="21"/>
        </w:rPr>
        <w:t>Účinnost</w:t>
      </w:r>
    </w:p>
    <w:p w14:paraId="31B1C313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0B958806" w14:textId="77777777" w:rsidR="00B70496" w:rsidRPr="00C01581" w:rsidRDefault="0068708D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  <w:r w:rsidRPr="00C01581">
        <w:rPr>
          <w:rFonts w:ascii="Tahoma" w:hAnsi="Tahoma"/>
          <w:sz w:val="21"/>
          <w:szCs w:val="21"/>
        </w:rPr>
        <w:t>Toto</w:t>
      </w:r>
      <w:r w:rsidR="00A6167E">
        <w:rPr>
          <w:rFonts w:ascii="Tahoma" w:hAnsi="Tahoma"/>
          <w:sz w:val="21"/>
          <w:szCs w:val="21"/>
        </w:rPr>
        <w:t xml:space="preserve"> nařízení nabývá účinnosti dnem 1. 1. 2021</w:t>
      </w:r>
      <w:r w:rsidR="00C674DC">
        <w:rPr>
          <w:rFonts w:ascii="Tahoma" w:hAnsi="Tahoma"/>
          <w:sz w:val="21"/>
          <w:szCs w:val="21"/>
        </w:rPr>
        <w:t>.</w:t>
      </w:r>
    </w:p>
    <w:p w14:paraId="028FF2AD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675D7591" w14:textId="77777777" w:rsidR="00B70496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077427A7" w14:textId="77777777" w:rsidR="00C674DC" w:rsidRDefault="00C674DC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0E21F256" w14:textId="77777777" w:rsidR="00C674DC" w:rsidRDefault="00C674DC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475A775A" w14:textId="77777777" w:rsidR="00C674DC" w:rsidRDefault="00C674DC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74A194AE" w14:textId="77777777" w:rsidR="00C674DC" w:rsidRDefault="00C674DC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75D1C102" w14:textId="77777777" w:rsidR="00C674DC" w:rsidRPr="00C01581" w:rsidRDefault="00C674DC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674DC" w14:paraId="53CD9AC9" w14:textId="77777777" w:rsidTr="00B24361"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0AE655DA" w14:textId="77777777" w:rsidR="00C674DC" w:rsidRDefault="00C674DC" w:rsidP="00B2436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RNDr. Michal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Pobucký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>, DiS.</w:t>
            </w:r>
          </w:p>
          <w:p w14:paraId="417843DE" w14:textId="77777777" w:rsidR="00C674DC" w:rsidRDefault="00C674DC" w:rsidP="00B243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3DD073EA" w14:textId="77777777" w:rsidR="00C674DC" w:rsidRDefault="00C674DC" w:rsidP="00B2436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00FBB0CD" w14:textId="77777777" w:rsidR="00C674DC" w:rsidRDefault="00C674DC" w:rsidP="00B243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52BA6550" w14:textId="77777777" w:rsidR="00C674DC" w:rsidRDefault="00C674DC" w:rsidP="00B2436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11B7E578" w14:textId="77777777" w:rsidR="00B70496" w:rsidRPr="00C01581" w:rsidRDefault="00B70496" w:rsidP="00FD6434">
      <w:pPr>
        <w:spacing w:after="0" w:line="240" w:lineRule="auto"/>
        <w:jc w:val="both"/>
        <w:rPr>
          <w:rFonts w:ascii="Tahoma" w:eastAsia="Tahoma" w:hAnsi="Tahoma" w:cs="Tahoma"/>
          <w:sz w:val="21"/>
          <w:szCs w:val="21"/>
        </w:rPr>
      </w:pPr>
    </w:p>
    <w:p w14:paraId="56EAD4E7" w14:textId="77777777" w:rsidR="00B70496" w:rsidRPr="00C01581" w:rsidRDefault="00B70496" w:rsidP="00FD6434">
      <w:pPr>
        <w:spacing w:after="0" w:line="240" w:lineRule="auto"/>
        <w:rPr>
          <w:rFonts w:ascii="Tahoma" w:eastAsia="Tahoma" w:hAnsi="Tahoma" w:cs="Tahoma"/>
          <w:sz w:val="21"/>
          <w:szCs w:val="21"/>
        </w:rPr>
      </w:pPr>
    </w:p>
    <w:p w14:paraId="09F6977C" w14:textId="77777777" w:rsidR="00B70496" w:rsidRPr="00C01581" w:rsidRDefault="00B70496" w:rsidP="00FD6434">
      <w:pPr>
        <w:spacing w:after="0" w:line="240" w:lineRule="auto"/>
        <w:rPr>
          <w:rFonts w:ascii="Tahoma" w:eastAsia="Tahoma" w:hAnsi="Tahoma" w:cs="Tahoma"/>
          <w:sz w:val="21"/>
          <w:szCs w:val="21"/>
        </w:rPr>
      </w:pPr>
    </w:p>
    <w:p w14:paraId="541E234C" w14:textId="77777777" w:rsidR="00106C7C" w:rsidRPr="00C01581" w:rsidRDefault="00000000" w:rsidP="00FD6434">
      <w:pPr>
        <w:spacing w:after="0" w:line="240" w:lineRule="auto"/>
        <w:rPr>
          <w:rFonts w:ascii="Tahoma" w:hAnsi="Tahoma"/>
          <w:sz w:val="21"/>
          <w:szCs w:val="21"/>
          <w:shd w:val="clear" w:color="auto" w:fill="FFFFFF"/>
        </w:rPr>
      </w:pPr>
      <w:hyperlink w:history="1"/>
    </w:p>
    <w:sectPr w:rsidR="00106C7C" w:rsidRPr="00C01581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763E" w14:textId="77777777" w:rsidR="008D637C" w:rsidRDefault="008D637C">
      <w:pPr>
        <w:spacing w:after="0" w:line="240" w:lineRule="auto"/>
      </w:pPr>
      <w:r>
        <w:separator/>
      </w:r>
    </w:p>
  </w:endnote>
  <w:endnote w:type="continuationSeparator" w:id="0">
    <w:p w14:paraId="61E4277C" w14:textId="77777777" w:rsidR="008D637C" w:rsidRDefault="008D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altName w:val="Tahom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116471"/>
      <w:docPartObj>
        <w:docPartGallery w:val="Page Numbers (Bottom of Page)"/>
        <w:docPartUnique/>
      </w:docPartObj>
    </w:sdtPr>
    <w:sdtContent>
      <w:p w14:paraId="4DE380B0" w14:textId="77777777" w:rsidR="00934341" w:rsidRDefault="009343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2E">
          <w:rPr>
            <w:noProof/>
          </w:rPr>
          <w:t>3</w:t>
        </w:r>
        <w:r>
          <w:fldChar w:fldCharType="end"/>
        </w:r>
      </w:p>
    </w:sdtContent>
  </w:sdt>
  <w:p w14:paraId="2BCCCA1D" w14:textId="77777777" w:rsidR="00934341" w:rsidRDefault="00934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7713" w14:textId="77777777" w:rsidR="008D637C" w:rsidRDefault="008D637C">
      <w:r>
        <w:separator/>
      </w:r>
    </w:p>
  </w:footnote>
  <w:footnote w:type="continuationSeparator" w:id="0">
    <w:p w14:paraId="621FE962" w14:textId="77777777" w:rsidR="008D637C" w:rsidRDefault="008D637C">
      <w:r>
        <w:continuationSeparator/>
      </w:r>
    </w:p>
  </w:footnote>
  <w:footnote w:type="continuationNotice" w:id="1">
    <w:p w14:paraId="7FA94721" w14:textId="77777777" w:rsidR="008D637C" w:rsidRDefault="008D637C"/>
  </w:footnote>
  <w:footnote w:id="2">
    <w:p w14:paraId="6451A0B0" w14:textId="77777777" w:rsidR="00B70496" w:rsidRPr="00480CA5" w:rsidRDefault="0068708D" w:rsidP="00480CA5">
      <w:pPr>
        <w:pStyle w:val="Textpoznpod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40"/>
        </w:tabs>
        <w:ind w:left="170" w:hanging="170"/>
        <w:jc w:val="both"/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</w:pP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footnoteRef/>
      </w:r>
      <w:r w:rsidR="00480CA5"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t>)</w:t>
      </w: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 § 1 odst. 2 zákona č. 40/1995 Sb., z</w:t>
      </w:r>
      <w:r w:rsidR="00934341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>á</w:t>
      </w: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>kon o regulaci reklamy a o změně a doplnění zákona č. 468/1991 Sb., o provozování</w:t>
      </w:r>
      <w:r w:rsid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 </w:t>
      </w:r>
      <w:r w:rsid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  </w:t>
      </w: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>rozhlasového a televizního vysílání, ve znění pozdějších předpisů.</w:t>
      </w:r>
    </w:p>
  </w:footnote>
  <w:footnote w:id="3">
    <w:p w14:paraId="2A8E719B" w14:textId="77777777" w:rsidR="00B70496" w:rsidRPr="00480CA5" w:rsidRDefault="0068708D" w:rsidP="00480CA5">
      <w:pPr>
        <w:pStyle w:val="Textpoznpod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40"/>
        </w:tabs>
        <w:ind w:left="340" w:hanging="340"/>
        <w:jc w:val="both"/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</w:pP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footnoteRef/>
      </w:r>
      <w:r w:rsidR="00480CA5"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t>)</w:t>
      </w: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 § 17 odst. 1 zákona 455/1991 Sb., o živnostenském podnikání (živnostenský zákon), ve znění pozdějších předpisů.</w:t>
      </w:r>
    </w:p>
  </w:footnote>
  <w:footnote w:id="4">
    <w:p w14:paraId="35A90FD7" w14:textId="77777777" w:rsidR="00B774A4" w:rsidRPr="00480CA5" w:rsidRDefault="00B774A4" w:rsidP="00480CA5">
      <w:pPr>
        <w:pStyle w:val="Textpoznpod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40"/>
        </w:tabs>
        <w:ind w:left="340" w:hanging="340"/>
        <w:jc w:val="both"/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</w:pP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footnoteRef/>
      </w:r>
      <w:r w:rsidR="00480CA5"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t>)</w:t>
      </w:r>
      <w:r w:rsidRPr="00480CA5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 Vyhláška Ministerstva kultury č. 476/1992 Sb., o prohlášení území historických jader vybraných měst za památkové zóny</w:t>
      </w:r>
    </w:p>
  </w:footnote>
  <w:footnote w:id="5">
    <w:p w14:paraId="31D17E5A" w14:textId="77777777" w:rsidR="00C674DC" w:rsidRDefault="0068708D" w:rsidP="00C674DC">
      <w:pPr>
        <w:pStyle w:val="Textpoznpod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40"/>
        </w:tabs>
        <w:ind w:left="340" w:hanging="340"/>
        <w:jc w:val="both"/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</w:pPr>
      <w:r w:rsidRP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footnoteRef/>
      </w:r>
      <w:r w:rsid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t xml:space="preserve">) </w:t>
      </w:r>
      <w:r w:rsidRP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  <w:vertAlign w:val="superscript"/>
        </w:rPr>
        <w:t xml:space="preserve"> </w:t>
      </w:r>
      <w:r w:rsidRP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zákon č. 117/2001 </w:t>
      </w:r>
      <w:r w:rsidR="00192759" w:rsidRP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>S</w:t>
      </w:r>
      <w:r w:rsidRP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b., o veřejných sbírkách a o změně některých zákonů (zákon o veřejných sbírkách), ve znění pozdějších </w:t>
      </w:r>
    </w:p>
    <w:p w14:paraId="4CE914F7" w14:textId="77777777" w:rsidR="00B70496" w:rsidRPr="00C674DC" w:rsidRDefault="00C674DC" w:rsidP="00C674DC">
      <w:pPr>
        <w:pStyle w:val="Textpoznpod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40"/>
        </w:tabs>
        <w:ind w:left="340" w:hanging="340"/>
        <w:jc w:val="both"/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</w:pPr>
      <w:r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 xml:space="preserve">   </w:t>
      </w:r>
      <w:r w:rsidR="0068708D" w:rsidRPr="00C674DC">
        <w:rPr>
          <w:rFonts w:ascii="Tahoma" w:eastAsiaTheme="minorEastAsia" w:hAnsi="Tahoma" w:cs="Tahoma"/>
          <w:color w:val="auto"/>
          <w:sz w:val="16"/>
          <w:szCs w:val="16"/>
          <w:bdr w:val="none" w:sz="0" w:space="0" w:color="auto"/>
        </w:rPr>
        <w:t>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F35"/>
    <w:multiLevelType w:val="hybridMultilevel"/>
    <w:tmpl w:val="8B8E43DE"/>
    <w:lvl w:ilvl="0" w:tplc="7438E7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FD864E9"/>
    <w:multiLevelType w:val="hybridMultilevel"/>
    <w:tmpl w:val="B64E87B2"/>
    <w:lvl w:ilvl="0" w:tplc="5DB44844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56A51"/>
    <w:multiLevelType w:val="hybridMultilevel"/>
    <w:tmpl w:val="AE3A6E28"/>
    <w:lvl w:ilvl="0" w:tplc="5F884AB0">
      <w:start w:val="1"/>
      <w:numFmt w:val="decimal"/>
      <w:lvlText w:val="%1)"/>
      <w:lvlJc w:val="left"/>
      <w:pPr>
        <w:ind w:left="36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14AAE"/>
    <w:multiLevelType w:val="hybridMultilevel"/>
    <w:tmpl w:val="81CA91DC"/>
    <w:lvl w:ilvl="0" w:tplc="5DB44844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2EE3"/>
    <w:multiLevelType w:val="hybridMultilevel"/>
    <w:tmpl w:val="6F0C8E30"/>
    <w:lvl w:ilvl="0" w:tplc="0B365CD2">
      <w:start w:val="1"/>
      <w:numFmt w:val="decimal"/>
      <w:lvlText w:val="%1)"/>
      <w:lvlJc w:val="left"/>
      <w:pPr>
        <w:ind w:left="4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9A4088"/>
    <w:multiLevelType w:val="hybridMultilevel"/>
    <w:tmpl w:val="E6060142"/>
    <w:lvl w:ilvl="0" w:tplc="5F884AB0">
      <w:start w:val="1"/>
      <w:numFmt w:val="decimal"/>
      <w:lvlText w:val="%1)"/>
      <w:lvlJc w:val="left"/>
      <w:pPr>
        <w:ind w:left="423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44094257"/>
    <w:multiLevelType w:val="hybridMultilevel"/>
    <w:tmpl w:val="7F3C925A"/>
    <w:lvl w:ilvl="0" w:tplc="7438E7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00DE9"/>
    <w:multiLevelType w:val="hybridMultilevel"/>
    <w:tmpl w:val="647A2B8E"/>
    <w:lvl w:ilvl="0" w:tplc="D3062CF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7E51ADF"/>
    <w:multiLevelType w:val="hybridMultilevel"/>
    <w:tmpl w:val="99DAD4E0"/>
    <w:lvl w:ilvl="0" w:tplc="B86A5C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31181"/>
    <w:multiLevelType w:val="hybridMultilevel"/>
    <w:tmpl w:val="8B8E43DE"/>
    <w:lvl w:ilvl="0" w:tplc="7438E7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7CF1931"/>
    <w:multiLevelType w:val="hybridMultilevel"/>
    <w:tmpl w:val="36C0C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0763">
    <w:abstractNumId w:val="10"/>
  </w:num>
  <w:num w:numId="2" w16cid:durableId="2118282738">
    <w:abstractNumId w:val="2"/>
  </w:num>
  <w:num w:numId="3" w16cid:durableId="350493974">
    <w:abstractNumId w:val="5"/>
  </w:num>
  <w:num w:numId="4" w16cid:durableId="682587177">
    <w:abstractNumId w:val="7"/>
  </w:num>
  <w:num w:numId="5" w16cid:durableId="2132043540">
    <w:abstractNumId w:val="4"/>
  </w:num>
  <w:num w:numId="6" w16cid:durableId="1887640382">
    <w:abstractNumId w:val="9"/>
  </w:num>
  <w:num w:numId="7" w16cid:durableId="1369792156">
    <w:abstractNumId w:val="6"/>
  </w:num>
  <w:num w:numId="8" w16cid:durableId="1022128704">
    <w:abstractNumId w:val="1"/>
  </w:num>
  <w:num w:numId="9" w16cid:durableId="1545294494">
    <w:abstractNumId w:val="3"/>
  </w:num>
  <w:num w:numId="10" w16cid:durableId="1910731623">
    <w:abstractNumId w:val="8"/>
  </w:num>
  <w:num w:numId="11" w16cid:durableId="130445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96"/>
    <w:rsid w:val="0003360C"/>
    <w:rsid w:val="00102DA2"/>
    <w:rsid w:val="00106C7C"/>
    <w:rsid w:val="00155BB9"/>
    <w:rsid w:val="00192759"/>
    <w:rsid w:val="001B7AEC"/>
    <w:rsid w:val="001E71B4"/>
    <w:rsid w:val="002071F8"/>
    <w:rsid w:val="00271742"/>
    <w:rsid w:val="002A569F"/>
    <w:rsid w:val="003626E5"/>
    <w:rsid w:val="003D033E"/>
    <w:rsid w:val="00480CA5"/>
    <w:rsid w:val="004A119E"/>
    <w:rsid w:val="004E017E"/>
    <w:rsid w:val="0052495C"/>
    <w:rsid w:val="005501B8"/>
    <w:rsid w:val="005749FB"/>
    <w:rsid w:val="005919BB"/>
    <w:rsid w:val="006411E2"/>
    <w:rsid w:val="0068708D"/>
    <w:rsid w:val="006E2EA9"/>
    <w:rsid w:val="006E3767"/>
    <w:rsid w:val="00702563"/>
    <w:rsid w:val="00756AD0"/>
    <w:rsid w:val="007E3DE5"/>
    <w:rsid w:val="007F7500"/>
    <w:rsid w:val="00892351"/>
    <w:rsid w:val="008D637C"/>
    <w:rsid w:val="00934341"/>
    <w:rsid w:val="00940485"/>
    <w:rsid w:val="00961D88"/>
    <w:rsid w:val="00A22E2D"/>
    <w:rsid w:val="00A26DE8"/>
    <w:rsid w:val="00A6167E"/>
    <w:rsid w:val="00A83468"/>
    <w:rsid w:val="00A8386D"/>
    <w:rsid w:val="00A853B5"/>
    <w:rsid w:val="00A95C3B"/>
    <w:rsid w:val="00AA1A79"/>
    <w:rsid w:val="00AD41E1"/>
    <w:rsid w:val="00AF28CB"/>
    <w:rsid w:val="00AF58E8"/>
    <w:rsid w:val="00B107FB"/>
    <w:rsid w:val="00B64DB9"/>
    <w:rsid w:val="00B70496"/>
    <w:rsid w:val="00B774A4"/>
    <w:rsid w:val="00B970F0"/>
    <w:rsid w:val="00BC3806"/>
    <w:rsid w:val="00C01581"/>
    <w:rsid w:val="00C12A68"/>
    <w:rsid w:val="00C153D5"/>
    <w:rsid w:val="00C674DC"/>
    <w:rsid w:val="00C77F40"/>
    <w:rsid w:val="00CB29C5"/>
    <w:rsid w:val="00CD0574"/>
    <w:rsid w:val="00CD6930"/>
    <w:rsid w:val="00CF2EBF"/>
    <w:rsid w:val="00D424D3"/>
    <w:rsid w:val="00D55B2E"/>
    <w:rsid w:val="00D83784"/>
    <w:rsid w:val="00DC5657"/>
    <w:rsid w:val="00DD0327"/>
    <w:rsid w:val="00E20952"/>
    <w:rsid w:val="00EC0DA2"/>
    <w:rsid w:val="00F21293"/>
    <w:rsid w:val="00FD6434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2DCD"/>
  <w15:docId w15:val="{1AA5CD9B-3FE1-4D7F-9DA1-A5E27560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kladntext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Textpoznpodarou">
    <w:name w:val="footnote text"/>
    <w:link w:val="TextpoznpodarouChar"/>
    <w:uiPriority w:val="99"/>
    <w:rPr>
      <w:rFonts w:ascii="Calibri" w:eastAsia="Calibri" w:hAnsi="Calibri" w:cs="Calibri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22E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E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E2D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E2D"/>
    <w:rPr>
      <w:rFonts w:ascii="Calibri" w:hAnsi="Calibri"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A22E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E2D"/>
    <w:rPr>
      <w:rFonts w:ascii="Segoe UI" w:hAnsi="Segoe UI" w:cs="Segoe UI"/>
      <w:color w:val="000000"/>
      <w:sz w:val="18"/>
      <w:szCs w:val="18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B774A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6C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2A68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80CA5"/>
    <w:rPr>
      <w:rFonts w:ascii="Calibri" w:eastAsia="Calibri" w:hAnsi="Calibri" w:cs="Calibri"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93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341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93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341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6BA1-0E3B-45EC-89E4-094B3DA3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KLÍMEK</dc:creator>
  <cp:lastModifiedBy>Zuzana GAVOROVÁ</cp:lastModifiedBy>
  <cp:revision>2</cp:revision>
  <cp:lastPrinted>2020-12-02T14:24:00Z</cp:lastPrinted>
  <dcterms:created xsi:type="dcterms:W3CDTF">2023-03-20T10:20:00Z</dcterms:created>
  <dcterms:modified xsi:type="dcterms:W3CDTF">2023-03-20T10:20:00Z</dcterms:modified>
</cp:coreProperties>
</file>