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lotextu"/>
        <w:spacing w:before="0" w:after="0"/>
        <w:jc w:val="center"/>
        <w:rPr>
          <w:rFonts w:ascii="Arial" w:hAnsi="Arial" w:cs="Arial"/>
          <w:b/>
          <w:color w:val="000000"/>
          <w:szCs w:val="24"/>
        </w:rPr>
      </w:pPr>
      <w:r>
        <w:rPr>
          <w:rFonts w:cs="Arial" w:ascii="Arial" w:hAnsi="Arial"/>
          <w:b/>
          <w:color w:val="000000"/>
          <w:szCs w:val="24"/>
        </w:rPr>
        <w:t>Obec Ostrá</w:t>
      </w:r>
    </w:p>
    <w:p>
      <w:pPr>
        <w:pStyle w:val="NormlnIMP"/>
        <w:spacing w:lineRule="auto" w:line="240" w:before="0" w:after="60"/>
        <w:jc w:val="center"/>
        <w:rPr>
          <w:rFonts w:ascii="Arial" w:hAnsi="Arial" w:cs="Arial"/>
          <w:b/>
          <w:color w:val="000000"/>
          <w:szCs w:val="24"/>
        </w:rPr>
      </w:pPr>
      <w:r>
        <w:rPr>
          <w:rFonts w:cs="Arial" w:ascii="Arial" w:hAnsi="Arial"/>
          <w:b/>
          <w:color w:val="000000"/>
          <w:szCs w:val="24"/>
        </w:rPr>
        <w:t>Zastupitelstvo obce Ostrá</w:t>
      </w:r>
    </w:p>
    <w:p>
      <w:pPr>
        <w:pStyle w:val="NormlnIMP"/>
        <w:spacing w:lineRule="auto" w:line="240" w:before="0" w:after="60"/>
        <w:jc w:val="center"/>
        <w:rPr>
          <w:rFonts w:ascii="Arial" w:hAnsi="Arial" w:cs="Arial"/>
          <w:b/>
          <w:color w:val="000000"/>
          <w:szCs w:val="24"/>
        </w:rPr>
      </w:pPr>
      <w:r>
        <w:rPr>
          <w:rFonts w:cs="Arial" w:ascii="Arial" w:hAnsi="Arial"/>
          <w:b/>
          <w:color w:val="000000"/>
          <w:szCs w:val="24"/>
        </w:rPr>
      </w:r>
    </w:p>
    <w:p>
      <w:pPr>
        <w:pStyle w:val="Normal"/>
        <w:spacing w:lineRule="auto" w:line="276"/>
        <w:jc w:val="center"/>
        <w:rPr>
          <w:rFonts w:ascii="Arial" w:hAnsi="Arial" w:cs="Arial"/>
          <w:b/>
        </w:rPr>
      </w:pPr>
      <w:r>
        <w:rPr>
          <w:rFonts w:cs="Arial" w:ascii="Arial" w:hAnsi="Arial"/>
          <w:b/>
        </w:rPr>
        <w:t>Obecně závazná vyhláška obce,</w:t>
      </w:r>
    </w:p>
    <w:p>
      <w:pPr>
        <w:pStyle w:val="Odsazentlatextu"/>
        <w:spacing w:before="0" w:after="60"/>
        <w:ind w:left="708" w:hanging="0"/>
        <w:rPr>
          <w:rFonts w:ascii="Arial" w:hAnsi="Arial" w:cs="Arial"/>
          <w:b/>
          <w:szCs w:val="24"/>
        </w:rPr>
      </w:pPr>
      <w:r>
        <w:rPr>
          <w:rFonts w:cs="Arial" w:ascii="Arial" w:hAnsi="Arial"/>
          <w:b/>
          <w:szCs w:val="24"/>
        </w:rPr>
        <w:t xml:space="preserve">                            </w:t>
      </w:r>
      <w:r>
        <w:rPr>
          <w:rFonts w:cs="Arial" w:ascii="Arial" w:hAnsi="Arial"/>
          <w:b/>
          <w:szCs w:val="24"/>
        </w:rPr>
        <w:t>kterou se vydává požární řád obce</w:t>
      </w:r>
    </w:p>
    <w:p>
      <w:pPr>
        <w:pStyle w:val="Normal"/>
        <w:spacing w:before="0" w:after="120"/>
        <w:rPr>
          <w:rFonts w:ascii="Arial" w:hAnsi="Arial" w:cs="Arial"/>
          <w:color w:val="FF0000"/>
          <w:sz w:val="22"/>
          <w:szCs w:val="22"/>
        </w:rPr>
      </w:pPr>
      <w:r>
        <w:rPr>
          <w:rFonts w:cs="Arial" w:ascii="Arial" w:hAnsi="Arial"/>
          <w:color w:val="FF0000"/>
          <w:sz w:val="22"/>
          <w:szCs w:val="22"/>
        </w:rPr>
      </w:r>
    </w:p>
    <w:p>
      <w:pPr>
        <w:pStyle w:val="NormalWeb"/>
        <w:spacing w:beforeAutospacing="0" w:before="0" w:afterAutospacing="0" w:after="0"/>
        <w:ind w:hanging="0"/>
        <w:rPr>
          <w:rFonts w:ascii="Arial" w:hAnsi="Arial" w:cs="Arial"/>
          <w:sz w:val="22"/>
          <w:szCs w:val="22"/>
        </w:rPr>
      </w:pPr>
      <w:r>
        <w:rPr>
          <w:rFonts w:cs="Arial" w:ascii="Arial" w:hAnsi="Arial"/>
          <w:sz w:val="22"/>
          <w:szCs w:val="22"/>
        </w:rPr>
        <w:t xml:space="preserve">Zastupitelstvo obce Ostrá se na svém zasedání konaném dne 23.6. 2026 usneslo vydat </w:t>
      </w:r>
      <w:r>
        <w:rPr>
          <w:rFonts w:cs="Arial" w:ascii="Arial" w:hAnsi="Arial"/>
          <w:sz w:val="22"/>
          <w:szCs w:val="22"/>
        </w:rPr>
        <w:t xml:space="preserve">usnesením č. 14a/44/26 </w:t>
      </w:r>
      <w:r>
        <w:rPr>
          <w:rFonts w:cs="Arial" w:ascii="Arial" w:hAnsi="Arial"/>
          <w:sz w:val="22"/>
          <w:szCs w:val="22"/>
        </w:rPr>
        <w:t>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pPr>
        <w:pStyle w:val="Normal"/>
        <w:rPr>
          <w:rFonts w:ascii="Arial" w:hAnsi="Arial" w:cs="Arial"/>
          <w:sz w:val="22"/>
          <w:szCs w:val="22"/>
          <w:highlight w:val="yellow"/>
        </w:rPr>
      </w:pPr>
      <w:r>
        <w:rPr>
          <w:rFonts w:cs="Arial" w:ascii="Arial" w:hAnsi="Arial"/>
          <w:sz w:val="22"/>
          <w:szCs w:val="22"/>
          <w:highlight w:val="yellow"/>
        </w:rPr>
      </w:r>
    </w:p>
    <w:p>
      <w:pPr>
        <w:pStyle w:val="Nadpis4"/>
        <w:jc w:val="center"/>
        <w:rPr>
          <w:rFonts w:ascii="Arial" w:hAnsi="Arial" w:cs="Arial"/>
          <w:sz w:val="22"/>
          <w:szCs w:val="22"/>
        </w:rPr>
      </w:pPr>
      <w:r>
        <w:rPr>
          <w:rFonts w:cs="Arial" w:ascii="Arial" w:hAnsi="Arial"/>
          <w:sz w:val="22"/>
          <w:szCs w:val="22"/>
        </w:rPr>
        <w:t>Čl. 1</w:t>
        <w:br/>
        <w:t>Úvodní ustanovení</w:t>
      </w:r>
    </w:p>
    <w:p>
      <w:pPr>
        <w:pStyle w:val="NormalWeb"/>
        <w:spacing w:beforeAutospacing="0" w:before="0" w:afterAutospacing="0" w:after="0"/>
        <w:rPr>
          <w:rFonts w:ascii="Arial" w:hAnsi="Arial" w:cs="Arial"/>
          <w:sz w:val="22"/>
          <w:szCs w:val="22"/>
        </w:rPr>
      </w:pPr>
      <w:r>
        <w:rPr>
          <w:rFonts w:cs="Arial" w:ascii="Arial" w:hAnsi="Arial"/>
          <w:sz w:val="22"/>
          <w:szCs w:val="22"/>
        </w:rPr>
      </w:r>
    </w:p>
    <w:p>
      <w:pPr>
        <w:pStyle w:val="NormalWeb"/>
        <w:spacing w:beforeAutospacing="0" w:before="0" w:afterAutospacing="0" w:after="0"/>
        <w:ind w:hanging="0"/>
        <w:rPr>
          <w:rFonts w:ascii="Arial" w:hAnsi="Arial" w:cs="Arial"/>
          <w:sz w:val="22"/>
          <w:szCs w:val="22"/>
        </w:rPr>
      </w:pPr>
      <w:r>
        <w:rPr>
          <w:rFonts w:cs="Arial" w:ascii="Arial" w:hAnsi="Arial"/>
          <w:sz w:val="22"/>
          <w:szCs w:val="22"/>
        </w:rPr>
        <w:t>(1)</w:t>
        <w:tab/>
        <w:t>Tato vyhláška</w:t>
      </w:r>
      <w:r>
        <w:rPr>
          <w:rFonts w:cs="Arial" w:ascii="Arial" w:hAnsi="Arial"/>
          <w:color w:val="auto"/>
          <w:sz w:val="22"/>
          <w:szCs w:val="22"/>
        </w:rPr>
        <w:t xml:space="preserve"> </w:t>
      </w:r>
      <w:r>
        <w:rPr>
          <w:rFonts w:cs="Arial" w:ascii="Arial" w:hAnsi="Arial"/>
          <w:sz w:val="22"/>
          <w:szCs w:val="22"/>
        </w:rPr>
        <w:t xml:space="preserve">upravuje organizaci a zásady zabezpečení požární ochrany v obci. </w:t>
      </w:r>
    </w:p>
    <w:p>
      <w:pPr>
        <w:pStyle w:val="NormalWeb"/>
        <w:spacing w:beforeAutospacing="0" w:before="0" w:afterAutospacing="0" w:after="0"/>
        <w:rPr>
          <w:rFonts w:ascii="Arial" w:hAnsi="Arial" w:cs="Arial"/>
          <w:sz w:val="22"/>
          <w:szCs w:val="22"/>
        </w:rPr>
      </w:pPr>
      <w:r>
        <w:rPr>
          <w:rFonts w:cs="Arial" w:ascii="Arial" w:hAnsi="Arial"/>
          <w:sz w:val="22"/>
          <w:szCs w:val="22"/>
        </w:rPr>
      </w:r>
    </w:p>
    <w:p>
      <w:pPr>
        <w:pStyle w:val="NormalWeb"/>
        <w:spacing w:beforeAutospacing="0" w:before="0" w:afterAutospacing="0" w:after="0"/>
        <w:ind w:left="705" w:hanging="705"/>
        <w:rPr>
          <w:rFonts w:ascii="Arial" w:hAnsi="Arial" w:cs="Arial"/>
          <w:color w:val="FF0000"/>
          <w:sz w:val="22"/>
          <w:szCs w:val="22"/>
        </w:rPr>
      </w:pPr>
      <w:r>
        <w:rPr>
          <w:rFonts w:cs="Arial" w:ascii="Arial" w:hAnsi="Arial"/>
          <w:sz w:val="22"/>
          <w:szCs w:val="22"/>
        </w:rPr>
        <w:t>(2)</w:t>
        <w:tab/>
        <w:t>Při zabezpečování požární ochrany spolupracuje obec zejména s hasičským záchranným sborem kraje, občanskými sdruženími a obecně prospěšnými společnostmi působícími na úseku požární ochrany.</w:t>
      </w:r>
    </w:p>
    <w:p>
      <w:pPr>
        <w:pStyle w:val="Normal"/>
        <w:rPr>
          <w:rFonts w:ascii="Arial" w:hAnsi="Arial" w:cs="Arial"/>
          <w:sz w:val="22"/>
          <w:szCs w:val="22"/>
        </w:rPr>
      </w:pPr>
      <w:r>
        <w:rPr>
          <w:rFonts w:cs="Arial" w:ascii="Arial" w:hAnsi="Arial"/>
          <w:sz w:val="22"/>
          <w:szCs w:val="22"/>
        </w:rPr>
      </w:r>
    </w:p>
    <w:p>
      <w:pPr>
        <w:pStyle w:val="Nadpis4"/>
        <w:jc w:val="center"/>
        <w:rPr>
          <w:rFonts w:ascii="Arial" w:hAnsi="Arial" w:cs="Arial"/>
          <w:sz w:val="22"/>
          <w:szCs w:val="22"/>
        </w:rPr>
      </w:pPr>
      <w:r>
        <w:rPr>
          <w:rFonts w:cs="Arial" w:ascii="Arial" w:hAnsi="Arial"/>
          <w:sz w:val="22"/>
          <w:szCs w:val="22"/>
        </w:rPr>
        <w:t>Čl. 2</w:t>
        <w:br/>
        <w:t>Vymezení činnosti osob pověřených zabezpečováním požární ochrany v obci</w:t>
      </w:r>
    </w:p>
    <w:p>
      <w:pPr>
        <w:pStyle w:val="NormalWeb"/>
        <w:spacing w:beforeAutospacing="0" w:before="0" w:afterAutospacing="0" w:after="0"/>
        <w:ind w:left="567" w:hanging="0"/>
        <w:rPr>
          <w:rFonts w:ascii="Arial" w:hAnsi="Arial" w:cs="Arial"/>
          <w:sz w:val="22"/>
          <w:szCs w:val="22"/>
        </w:rPr>
      </w:pPr>
      <w:r>
        <w:rPr>
          <w:rFonts w:cs="Arial" w:ascii="Arial" w:hAnsi="Arial"/>
          <w:sz w:val="22"/>
          <w:szCs w:val="22"/>
        </w:rPr>
      </w:r>
    </w:p>
    <w:p>
      <w:pPr>
        <w:pStyle w:val="NormalWeb"/>
        <w:numPr>
          <w:ilvl w:val="0"/>
          <w:numId w:val="3"/>
        </w:numPr>
        <w:spacing w:beforeAutospacing="0" w:before="0" w:afterAutospacing="0" w:after="0"/>
        <w:ind w:left="567" w:hanging="567"/>
        <w:rPr>
          <w:rFonts w:ascii="Arial" w:hAnsi="Arial" w:cs="Arial"/>
          <w:sz w:val="22"/>
          <w:szCs w:val="22"/>
        </w:rPr>
      </w:pPr>
      <w:r>
        <w:rPr>
          <w:rFonts w:cs="Arial" w:ascii="Arial" w:hAnsi="Arial"/>
          <w:sz w:val="22"/>
          <w:szCs w:val="22"/>
        </w:rPr>
        <w:t>Ochrana životů, zdraví a majetku občanů před požáry, živelními pohromami a jinými mimořádnými událostmi na území obce Ostrá (dále jen „obec“) je zajištěna společnou jednotkou požární ochrany Sboru dobrovolných hasičů (dále jen JPO SDH) města Lysá nad Labem zřízenou na základě Smlouvy o zabezpečení požární ochrany a sdružení prostředků ze dne 26. 9. 2022 a dalšími jednotkami požární ochrany uvedenými v příloze č. 1 této vyhlášky.</w:t>
      </w:r>
    </w:p>
    <w:p>
      <w:pPr>
        <w:pStyle w:val="NormalWeb"/>
        <w:spacing w:beforeAutospacing="0" w:before="0" w:afterAutospacing="0" w:after="0"/>
        <w:rPr>
          <w:rFonts w:ascii="Arial" w:hAnsi="Arial" w:cs="Arial"/>
          <w:sz w:val="22"/>
          <w:szCs w:val="22"/>
        </w:rPr>
      </w:pPr>
      <w:r>
        <w:rPr>
          <w:rFonts w:cs="Arial" w:ascii="Arial" w:hAnsi="Arial"/>
          <w:sz w:val="22"/>
          <w:szCs w:val="22"/>
        </w:rPr>
      </w:r>
    </w:p>
    <w:p>
      <w:pPr>
        <w:pStyle w:val="NormalWeb"/>
        <w:numPr>
          <w:ilvl w:val="0"/>
          <w:numId w:val="3"/>
        </w:numPr>
        <w:spacing w:beforeAutospacing="0" w:before="0" w:afterAutospacing="0" w:after="0"/>
        <w:ind w:left="567" w:hanging="567"/>
        <w:rPr>
          <w:rFonts w:ascii="Arial" w:hAnsi="Arial" w:cs="Arial"/>
          <w:sz w:val="22"/>
          <w:szCs w:val="22"/>
        </w:rPr>
      </w:pPr>
      <w:r>
        <w:rPr>
          <w:rFonts w:cs="Arial" w:ascii="Arial" w:hAnsi="Arial"/>
          <w:sz w:val="22"/>
          <w:szCs w:val="22"/>
        </w:rPr>
        <w:t>K zabezpečení úkolů na úseku požární ochrany byly na základě usnesení zastupitelstva obce dále pověřeny tyto orgány obce:</w:t>
      </w:r>
    </w:p>
    <w:p>
      <w:pPr>
        <w:pStyle w:val="ListParagraph"/>
        <w:numPr>
          <w:ilvl w:val="0"/>
          <w:numId w:val="4"/>
        </w:numPr>
        <w:spacing w:lineRule="auto" w:line="240" w:before="0" w:after="0"/>
        <w:ind w:left="1418" w:hanging="851"/>
        <w:contextualSpacing/>
        <w:jc w:val="both"/>
        <w:rPr>
          <w:rFonts w:ascii="Arial" w:hAnsi="Arial" w:cs="Arial"/>
          <w:color w:val="FF0000"/>
          <w:lang w:val="cs-CZ"/>
        </w:rPr>
      </w:pPr>
      <w:r>
        <w:rPr>
          <w:rFonts w:cs="Arial" w:ascii="Arial" w:hAnsi="Arial"/>
          <w:lang w:val="cs-CZ"/>
        </w:rPr>
        <w:t>zastupitelstvo obce -</w:t>
      </w:r>
      <w:r>
        <w:rPr>
          <w:rFonts w:cs="Arial" w:ascii="Arial" w:hAnsi="Arial"/>
          <w:color w:val="FF0000"/>
          <w:lang w:val="cs-CZ"/>
        </w:rPr>
        <w:t xml:space="preserve"> </w:t>
      </w:r>
      <w:r>
        <w:rPr>
          <w:rFonts w:eastAsia="Times New Roman" w:cs="Arial" w:ascii="Arial" w:hAnsi="Arial"/>
          <w:color w:val="000000"/>
          <w:lang w:val="cs-CZ" w:eastAsia="cs-CZ"/>
        </w:rPr>
        <w:t>projednáním stavu požární ochrany v  obci minimálně 1 x za 12 měsíců nebo vždy po závažné mimořádné události mající vztah k zajištění požární ochrany v  obci,</w:t>
      </w:r>
    </w:p>
    <w:p>
      <w:pPr>
        <w:pStyle w:val="ListParagraph"/>
        <w:numPr>
          <w:ilvl w:val="0"/>
          <w:numId w:val="4"/>
        </w:numPr>
        <w:spacing w:lineRule="auto" w:line="240" w:before="0" w:after="0"/>
        <w:ind w:left="1418" w:hanging="851"/>
        <w:contextualSpacing/>
        <w:jc w:val="both"/>
        <w:rPr>
          <w:rFonts w:ascii="Arial" w:hAnsi="Arial" w:cs="Arial"/>
          <w:color w:val="FF0000"/>
          <w:lang w:val="cs-CZ"/>
        </w:rPr>
      </w:pPr>
      <w:r>
        <w:rPr>
          <w:rFonts w:cs="Arial" w:ascii="Arial" w:hAnsi="Arial"/>
          <w:lang w:val="cs-CZ"/>
        </w:rPr>
        <w:t>starosta -</w:t>
      </w:r>
      <w:r>
        <w:rPr>
          <w:rFonts w:cs="Arial" w:ascii="Arial" w:hAnsi="Arial"/>
          <w:color w:val="FF0000"/>
          <w:lang w:val="cs-CZ"/>
        </w:rPr>
        <w:t xml:space="preserve"> </w:t>
      </w:r>
      <w:r>
        <w:rPr>
          <w:rFonts w:eastAsia="Times New Roman" w:cs="Arial" w:ascii="Arial" w:hAnsi="Arial"/>
          <w:color w:val="000000"/>
          <w:lang w:val="cs-CZ" w:eastAsia="cs-CZ"/>
        </w:rPr>
        <w:t>zabezpečováním pravidelných kontrol dodržování předpisů a plnění povinností obce na úseku požární ochrany vyplývajících z její samostatné působnosti, a to minimálně 1 x za 12 měsíců.</w:t>
      </w:r>
    </w:p>
    <w:p>
      <w:pPr>
        <w:pStyle w:val="ListParagraph"/>
        <w:spacing w:lineRule="auto" w:line="240" w:before="0" w:after="0"/>
        <w:contextualSpacing/>
        <w:jc w:val="both"/>
        <w:rPr>
          <w:rFonts w:ascii="Arial" w:hAnsi="Arial" w:cs="Arial"/>
          <w:color w:val="FF0000"/>
          <w:highlight w:val="yellow"/>
          <w:lang w:val="cs-CZ"/>
        </w:rPr>
      </w:pPr>
      <w:r>
        <w:rPr>
          <w:rFonts w:cs="Arial" w:ascii="Arial" w:hAnsi="Arial"/>
          <w:color w:val="FF0000"/>
          <w:highlight w:val="yellow"/>
          <w:lang w:val="cs-CZ"/>
        </w:rPr>
      </w:r>
    </w:p>
    <w:p>
      <w:pPr>
        <w:pStyle w:val="Nadpis4"/>
        <w:jc w:val="center"/>
        <w:rPr>
          <w:rFonts w:ascii="Arial" w:hAnsi="Arial" w:cs="Arial"/>
          <w:sz w:val="22"/>
          <w:szCs w:val="22"/>
        </w:rPr>
      </w:pPr>
      <w:r>
        <w:rPr>
          <w:rFonts w:cs="Arial" w:ascii="Arial" w:hAnsi="Arial"/>
          <w:sz w:val="22"/>
          <w:szCs w:val="22"/>
        </w:rPr>
        <w:t>Čl. 3</w:t>
        <w:br/>
        <w:t>Podmínky požární bezpečnosti při činnostech a v objektech se zvýšeným nebezpečím vzniku požáru se zřetelem na místní situaci</w:t>
      </w:r>
    </w:p>
    <w:p>
      <w:pPr>
        <w:pStyle w:val="Normal"/>
        <w:rPr>
          <w:rFonts w:ascii="Arial" w:hAnsi="Arial" w:cs="Arial"/>
          <w:b/>
          <w:bCs/>
          <w:sz w:val="22"/>
          <w:szCs w:val="22"/>
        </w:rPr>
      </w:pPr>
      <w:r>
        <w:rPr>
          <w:rFonts w:cs="Arial" w:ascii="Arial" w:hAnsi="Arial"/>
          <w:b/>
          <w:bCs/>
          <w:sz w:val="22"/>
          <w:szCs w:val="22"/>
        </w:rPr>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t>Za činnosti, při kterých hrozí zvýšené nebezpečí vzniku požáru, se podle místních podmínek považuje konání veřejnosti přístupných kulturních a sportovních akcí na veřejných prostranstvích, při nichž dochází k manipulaci s otevřeným ohněm a na něž se nevztahují povinnosti uvedené v § 6 zákona o požární ochraně ani v právním předpisu kraje</w:t>
      </w:r>
      <w:r>
        <w:rPr>
          <w:rFonts w:cs="Arial" w:ascii="Arial" w:hAnsi="Arial"/>
          <w:color w:val="auto"/>
          <w:sz w:val="22"/>
          <w:szCs w:val="22"/>
          <w:vertAlign w:val="superscript"/>
        </w:rPr>
        <w:t>1</w:t>
      </w:r>
      <w:r>
        <w:rPr>
          <w:rFonts w:cs="Arial" w:ascii="Arial" w:hAnsi="Arial"/>
          <w:color w:val="auto"/>
          <w:sz w:val="22"/>
          <w:szCs w:val="22"/>
        </w:rPr>
        <w:t xml:space="preserve"> či obce</w:t>
      </w:r>
      <w:r>
        <w:rPr>
          <w:rFonts w:cs="Arial" w:ascii="Arial" w:hAnsi="Arial"/>
          <w:color w:val="auto"/>
          <w:sz w:val="22"/>
          <w:szCs w:val="22"/>
          <w:vertAlign w:val="superscript"/>
        </w:rPr>
        <w:t>2</w:t>
      </w:r>
      <w:r>
        <w:rPr>
          <w:rFonts w:cs="Arial" w:ascii="Arial" w:hAnsi="Arial"/>
          <w:color w:val="auto"/>
          <w:sz w:val="22"/>
          <w:szCs w:val="22"/>
        </w:rPr>
        <w:t xml:space="preserve"> vydanému k zabezpečení požární ochrany při akcích, kterých se zúčastňuje větší počet osob.</w:t>
      </w:r>
    </w:p>
    <w:p>
      <w:pPr>
        <w:pStyle w:val="NormalWeb"/>
        <w:spacing w:beforeAutospacing="0" w:before="0" w:afterAutospacing="0" w:after="0"/>
        <w:ind w:hanging="0"/>
        <w:rPr>
          <w:rFonts w:ascii="Arial" w:hAnsi="Arial" w:cs="Arial"/>
          <w:color w:val="FF0000"/>
          <w:sz w:val="22"/>
          <w:szCs w:val="22"/>
          <w:highlight w:val="yellow"/>
        </w:rPr>
      </w:pPr>
      <w:r>
        <w:rPr>
          <w:rFonts w:cs="Arial" w:ascii="Arial" w:hAnsi="Arial"/>
          <w:color w:val="FF0000"/>
          <w:sz w:val="22"/>
          <w:szCs w:val="22"/>
          <w:highlight w:val="yellow"/>
        </w:rPr>
      </w:r>
    </w:p>
    <w:p>
      <w:pPr>
        <w:pStyle w:val="Normal"/>
        <w:jc w:val="both"/>
        <w:rPr>
          <w:rFonts w:ascii="Arial" w:hAnsi="Arial" w:cs="Arial"/>
          <w:sz w:val="22"/>
          <w:szCs w:val="22"/>
        </w:rPr>
      </w:pPr>
      <w:r>
        <w:rPr>
          <w:rFonts w:cs="Arial" w:ascii="Arial" w:hAnsi="Arial"/>
          <w:sz w:val="22"/>
          <w:szCs w:val="22"/>
        </w:rPr>
        <w:t>Pořadatel akce je povinen konání akce nahlásit min. 2 pracovní dny před jejím započetím na Obecním úřadu Ostrá a na operační středisko Hasičského záchranného sboru Středočeského kraje. Je-li pořadatelem právnická osoba či fyzická osoba podnikající, je její povinností zřídit preventivní požární hlídku</w:t>
      </w:r>
      <w:r>
        <w:rPr>
          <w:rFonts w:cs="Arial" w:ascii="Arial" w:hAnsi="Arial"/>
          <w:sz w:val="22"/>
          <w:szCs w:val="22"/>
          <w:vertAlign w:val="superscript"/>
        </w:rPr>
        <w:t>3</w:t>
      </w:r>
      <w:r>
        <w:rPr>
          <w:rFonts w:cs="Arial" w:ascii="Arial" w:hAnsi="Arial"/>
          <w:sz w:val="22"/>
          <w:szCs w:val="22"/>
        </w:rPr>
        <w:t xml:space="preserve">. </w:t>
      </w:r>
    </w:p>
    <w:p>
      <w:pPr>
        <w:pStyle w:val="Normal"/>
        <w:ind w:left="567" w:hanging="0"/>
        <w:jc w:val="both"/>
        <w:rPr>
          <w:rFonts w:ascii="Arial" w:hAnsi="Arial" w:cs="Arial"/>
          <w:sz w:val="22"/>
          <w:szCs w:val="22"/>
        </w:rPr>
      </w:pPr>
      <w:r>
        <w:rPr>
          <w:rFonts w:cs="Arial" w:ascii="Arial" w:hAnsi="Arial"/>
          <w:sz w:val="22"/>
          <w:szCs w:val="22"/>
        </w:rPr>
        <w:t xml:space="preserve"> </w:t>
      </w:r>
    </w:p>
    <w:p>
      <w:pPr>
        <w:pStyle w:val="Nadpis4"/>
        <w:jc w:val="center"/>
        <w:rPr>
          <w:rFonts w:ascii="Arial" w:hAnsi="Arial" w:cs="Arial"/>
          <w:sz w:val="22"/>
          <w:szCs w:val="22"/>
        </w:rPr>
      </w:pPr>
      <w:r>
        <w:rPr>
          <w:rFonts w:cs="Arial" w:ascii="Arial" w:hAnsi="Arial"/>
          <w:sz w:val="22"/>
          <w:szCs w:val="22"/>
        </w:rPr>
        <w:t>Čl. 4</w:t>
        <w:br/>
        <w:t>Způsob nepřetržitého zabezpečení požární ochrany v obci</w:t>
      </w:r>
    </w:p>
    <w:p>
      <w:pPr>
        <w:pStyle w:val="NormalWeb"/>
        <w:spacing w:beforeAutospacing="0" w:before="0" w:afterAutospacing="0" w:after="0"/>
        <w:ind w:hanging="0"/>
        <w:rPr>
          <w:rFonts w:ascii="Arial" w:hAnsi="Arial" w:cs="Arial"/>
          <w:color w:val="auto"/>
          <w:sz w:val="22"/>
          <w:szCs w:val="22"/>
        </w:rPr>
      </w:pPr>
      <w:r>
        <w:rPr>
          <w:rFonts w:cs="Arial" w:ascii="Arial" w:hAnsi="Arial"/>
          <w:color w:val="auto"/>
          <w:sz w:val="22"/>
          <w:szCs w:val="22"/>
        </w:rPr>
      </w:r>
    </w:p>
    <w:p>
      <w:pPr>
        <w:pStyle w:val="NormalWeb"/>
        <w:numPr>
          <w:ilvl w:val="0"/>
          <w:numId w:val="11"/>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Přijetí ohlášení požáru, živelní pohromy či jiné mimořádné události na území obce je zabezpečeno systémem ohlašoven požárů uvedených v čl. 7.</w:t>
      </w:r>
    </w:p>
    <w:p>
      <w:pPr>
        <w:pStyle w:val="NormalWeb"/>
        <w:spacing w:beforeAutospacing="0" w:before="0" w:afterAutospacing="0" w:after="0"/>
        <w:ind w:hanging="0"/>
        <w:rPr>
          <w:rFonts w:ascii="Arial" w:hAnsi="Arial" w:cs="Arial"/>
          <w:color w:val="auto"/>
          <w:sz w:val="22"/>
          <w:szCs w:val="22"/>
        </w:rPr>
      </w:pPr>
      <w:r>
        <w:rPr>
          <w:rFonts w:cs="Arial" w:ascii="Arial" w:hAnsi="Arial"/>
          <w:color w:val="auto"/>
          <w:sz w:val="22"/>
          <w:szCs w:val="22"/>
        </w:rPr>
      </w:r>
    </w:p>
    <w:p>
      <w:pPr>
        <w:pStyle w:val="NormalWeb"/>
        <w:numPr>
          <w:ilvl w:val="0"/>
          <w:numId w:val="11"/>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Ochrana životů, zdraví a majetku občanů před požáry, živelními pohromami a jinými mimořádnými událostmi na území obce je zabezpečena společnou jednotkou požární ochrany uvedenou v čl. 5 a dalšími jednotkami uvedenými v příloze č. 1 vyhlášky.</w:t>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r>
    </w:p>
    <w:p>
      <w:pPr>
        <w:pStyle w:val="Nadpis4"/>
        <w:jc w:val="center"/>
        <w:rPr>
          <w:rFonts w:ascii="Arial" w:hAnsi="Arial" w:cs="Arial"/>
          <w:sz w:val="22"/>
          <w:szCs w:val="22"/>
        </w:rPr>
      </w:pPr>
      <w:r>
        <w:rPr>
          <w:rFonts w:cs="Arial" w:ascii="Arial" w:hAnsi="Arial"/>
          <w:sz w:val="22"/>
          <w:szCs w:val="22"/>
        </w:rPr>
        <w:t>Čl. 5</w:t>
        <w:br/>
        <w:t xml:space="preserve">Kategorie společné jednotky požární ochrany, její početní stav a vybavení </w:t>
      </w:r>
    </w:p>
    <w:p>
      <w:pPr>
        <w:pStyle w:val="NormalWeb"/>
        <w:spacing w:beforeAutospacing="0" w:before="0" w:afterAutospacing="0" w:after="0"/>
        <w:ind w:left="720" w:hanging="0"/>
        <w:rPr>
          <w:rFonts w:ascii="Arial" w:hAnsi="Arial" w:cs="Arial"/>
          <w:color w:val="auto"/>
          <w:sz w:val="22"/>
          <w:szCs w:val="22"/>
        </w:rPr>
      </w:pPr>
      <w:r>
        <w:rPr>
          <w:rFonts w:cs="Arial" w:ascii="Arial" w:hAnsi="Arial"/>
          <w:color w:val="auto"/>
          <w:sz w:val="22"/>
          <w:szCs w:val="22"/>
        </w:rPr>
      </w:r>
    </w:p>
    <w:p>
      <w:pPr>
        <w:pStyle w:val="NormalWeb"/>
        <w:numPr>
          <w:ilvl w:val="0"/>
          <w:numId w:val="5"/>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Kategorie, početní stav a vybavení společné jednotky požární ochrany (čl. 2 odst. 1) jsou uvedeny v příloze č. 2 vyhlášky.</w:t>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r>
    </w:p>
    <w:p>
      <w:pPr>
        <w:pStyle w:val="NormalWeb"/>
        <w:numPr>
          <w:ilvl w:val="0"/>
          <w:numId w:val="5"/>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Členové společné jednotky požární ochrany se při vyhlášení požárního poplachu dostaví ve stanoveném čase do hasičské stanice na adrese Pivovarská 1518, Lysá nad Labem, anebo na jiné místo, stanovené velitelem této jednotky požární ochrany.</w:t>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r>
    </w:p>
    <w:p>
      <w:pPr>
        <w:pStyle w:val="Nadpis4"/>
        <w:jc w:val="center"/>
        <w:rPr>
          <w:rFonts w:ascii="Arial" w:hAnsi="Arial" w:cs="Arial"/>
          <w:strike/>
          <w:sz w:val="22"/>
          <w:szCs w:val="22"/>
        </w:rPr>
      </w:pPr>
      <w:r>
        <w:rPr>
          <w:rFonts w:cs="Arial" w:ascii="Arial" w:hAnsi="Arial"/>
          <w:sz w:val="22"/>
          <w:szCs w:val="22"/>
        </w:rPr>
        <w:t>Čl. 6</w:t>
        <w:br/>
        <w:t xml:space="preserve">Přehled o zdrojích vody pro hašení požárů a podmínky jejich trvalé použitelnosti </w:t>
      </w:r>
    </w:p>
    <w:p>
      <w:pPr>
        <w:pStyle w:val="NormalWeb"/>
        <w:spacing w:beforeAutospacing="0" w:before="0" w:afterAutospacing="0" w:after="0"/>
        <w:ind w:hanging="0"/>
        <w:rPr>
          <w:rFonts w:ascii="Arial" w:hAnsi="Arial" w:cs="Arial"/>
          <w:color w:val="auto"/>
          <w:sz w:val="22"/>
          <w:szCs w:val="22"/>
        </w:rPr>
      </w:pPr>
      <w:r>
        <w:rPr>
          <w:rFonts w:cs="Arial" w:ascii="Arial" w:hAnsi="Arial"/>
          <w:color w:val="auto"/>
          <w:sz w:val="22"/>
          <w:szCs w:val="22"/>
        </w:rPr>
      </w:r>
    </w:p>
    <w:p>
      <w:pPr>
        <w:pStyle w:val="NormalWeb"/>
        <w:numPr>
          <w:ilvl w:val="0"/>
          <w:numId w:val="6"/>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Vlastník nebo uživatel zdrojů vody pro hašení požárů je povinen tyto udržovat v takovém stavu, aby bylo umožněno použití požární techniky a čerpání vody pro hašení požárů</w:t>
      </w:r>
      <w:r>
        <w:rPr>
          <w:rFonts w:cs="Arial" w:ascii="Arial" w:hAnsi="Arial"/>
          <w:color w:val="auto"/>
          <w:sz w:val="22"/>
          <w:szCs w:val="22"/>
          <w:vertAlign w:val="superscript"/>
        </w:rPr>
        <w:t>4</w:t>
      </w:r>
      <w:r>
        <w:rPr>
          <w:rFonts w:cs="Arial" w:ascii="Arial" w:hAnsi="Arial"/>
          <w:color w:val="auto"/>
          <w:sz w:val="22"/>
          <w:szCs w:val="22"/>
        </w:rPr>
        <w:t>.</w:t>
      </w:r>
    </w:p>
    <w:p>
      <w:pPr>
        <w:pStyle w:val="NormalWeb"/>
        <w:spacing w:beforeAutospacing="0" w:before="0" w:afterAutospacing="0" w:after="0"/>
        <w:ind w:left="720" w:hanging="0"/>
        <w:rPr>
          <w:rFonts w:ascii="Arial" w:hAnsi="Arial" w:cs="Arial"/>
          <w:color w:val="auto"/>
          <w:sz w:val="22"/>
          <w:szCs w:val="22"/>
        </w:rPr>
      </w:pPr>
      <w:r>
        <w:rPr>
          <w:rFonts w:cs="Arial" w:ascii="Arial" w:hAnsi="Arial"/>
          <w:color w:val="auto"/>
          <w:sz w:val="22"/>
          <w:szCs w:val="22"/>
        </w:rPr>
      </w:r>
    </w:p>
    <w:p>
      <w:pPr>
        <w:pStyle w:val="NormalWeb"/>
        <w:numPr>
          <w:ilvl w:val="0"/>
          <w:numId w:val="6"/>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Zdroje vody pro hašení požárů stanoví kraj svým nařízením</w:t>
      </w:r>
      <w:r>
        <w:rPr>
          <w:rFonts w:cs="Arial" w:ascii="Arial" w:hAnsi="Arial"/>
          <w:color w:val="auto"/>
          <w:sz w:val="22"/>
          <w:szCs w:val="22"/>
          <w:vertAlign w:val="superscript"/>
        </w:rPr>
        <w:t>5</w:t>
      </w:r>
      <w:r>
        <w:rPr>
          <w:rFonts w:cs="Arial" w:ascii="Arial" w:hAnsi="Arial"/>
          <w:color w:val="auto"/>
          <w:sz w:val="22"/>
          <w:szCs w:val="22"/>
        </w:rPr>
        <w:t>. Zdroje vody pro hašení požárů na území obce jsou uvedeny v příloze č. 3 vyhlášky.</w:t>
      </w:r>
    </w:p>
    <w:p>
      <w:pPr>
        <w:pStyle w:val="NormalWeb"/>
        <w:spacing w:beforeAutospacing="0" w:before="0" w:afterAutospacing="0" w:after="0"/>
        <w:ind w:hanging="0"/>
        <w:rPr>
          <w:rFonts w:ascii="Arial" w:hAnsi="Arial" w:cs="Arial"/>
          <w:color w:val="auto"/>
          <w:sz w:val="22"/>
          <w:szCs w:val="22"/>
        </w:rPr>
      </w:pPr>
      <w:r>
        <w:rPr>
          <w:rFonts w:cs="Arial" w:ascii="Arial" w:hAnsi="Arial"/>
          <w:color w:val="auto"/>
          <w:sz w:val="22"/>
          <w:szCs w:val="22"/>
        </w:rPr>
      </w:r>
    </w:p>
    <w:p>
      <w:pPr>
        <w:pStyle w:val="NormalWeb"/>
        <w:numPr>
          <w:ilvl w:val="0"/>
          <w:numId w:val="7"/>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 xml:space="preserve">Nad rámec nařízení kraje obec stanovila zdroje vody pro hašení požárů. Přehled zdrojů vody je uveden v příloze č. 3 vyhlášky. Zdroje vody pro hašení požárů, jakož i čerpací stanoviště pro požární techniku a vhodné směry příjezdu ke zdrojům vody jsou vyznačeny v plánku v příloze č. 3 vyhlášky, který se v jednom vyhotovení předává jednotce požární ochrany uvedené v čl. 5 a jednotce Hasičského záchranného sboru Středočeského kraje. </w:t>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r>
    </w:p>
    <w:p>
      <w:pPr>
        <w:pStyle w:val="NormalWeb"/>
        <w:spacing w:beforeAutospacing="0" w:before="0" w:afterAutospacing="0" w:after="0"/>
        <w:rPr>
          <w:rFonts w:ascii="Arial" w:hAnsi="Arial" w:cs="Arial"/>
          <w:color w:val="auto"/>
          <w:sz w:val="22"/>
          <w:szCs w:val="22"/>
          <w:highlight w:val="yellow"/>
        </w:rPr>
      </w:pPr>
      <w:r>
        <w:rPr>
          <w:rFonts w:cs="Arial" w:ascii="Arial" w:hAnsi="Arial"/>
          <w:color w:val="auto"/>
          <w:sz w:val="22"/>
          <w:szCs w:val="22"/>
          <w:highlight w:val="yellow"/>
        </w:rPr>
      </w:r>
    </w:p>
    <w:p>
      <w:pPr>
        <w:pStyle w:val="ListParagraph"/>
        <w:spacing w:lineRule="auto" w:line="240" w:before="0" w:after="0"/>
        <w:ind w:left="0" w:hanging="0"/>
        <w:contextualSpacing/>
        <w:jc w:val="both"/>
        <w:rPr>
          <w:rFonts w:ascii="Arial" w:hAnsi="Arial" w:cs="Arial"/>
          <w:lang w:val="cs-CZ"/>
        </w:rPr>
      </w:pPr>
      <w:r>
        <w:rPr>
          <w:rFonts w:cs="Arial" w:ascii="Arial" w:hAnsi="Arial"/>
          <w:lang w:val="cs-CZ"/>
        </w:rPr>
        <w:t xml:space="preserve">_____________ </w:t>
      </w:r>
    </w:p>
    <w:p>
      <w:pPr>
        <w:pStyle w:val="Poznmkapodarou"/>
        <w:rPr>
          <w:rFonts w:ascii="Arial" w:hAnsi="Arial"/>
        </w:rPr>
      </w:pPr>
      <w:r>
        <w:rPr>
          <w:rStyle w:val="Znakypropoznmkupodarou"/>
          <w:rFonts w:ascii="Arial" w:hAnsi="Arial"/>
        </w:rPr>
        <w:t>1</w:t>
      </w:r>
      <w:r>
        <w:rPr>
          <w:rFonts w:ascii="Arial" w:hAnsi="Arial"/>
        </w:rPr>
        <w:t xml:space="preserve"> § 27 odst. 2 písm. b) bod 5 zákona o požární ochraně</w:t>
      </w:r>
    </w:p>
    <w:p>
      <w:pPr>
        <w:pStyle w:val="Poznmkapodarou"/>
        <w:rPr>
          <w:rFonts w:ascii="Arial" w:hAnsi="Arial"/>
        </w:rPr>
      </w:pPr>
      <w:r>
        <w:rPr>
          <w:rStyle w:val="Znakypropoznmkupodarou"/>
          <w:rFonts w:ascii="Arial" w:hAnsi="Arial"/>
        </w:rPr>
        <w:t>2</w:t>
      </w:r>
      <w:r>
        <w:rPr>
          <w:rFonts w:ascii="Arial" w:hAnsi="Arial"/>
        </w:rPr>
        <w:t xml:space="preserve"> § 29 odst. 1 písm. o) bod 2 zákona o požární ochraně</w:t>
      </w:r>
    </w:p>
    <w:p>
      <w:pPr>
        <w:pStyle w:val="Poznmkapodarou"/>
        <w:rPr>
          <w:rFonts w:ascii="Arial" w:hAnsi="Arial" w:cs="Arial"/>
        </w:rPr>
      </w:pPr>
      <w:r>
        <w:rPr>
          <w:rStyle w:val="Znakypropoznmkupodarou"/>
          <w:rFonts w:cs="Arial" w:ascii="Arial" w:hAnsi="Arial"/>
        </w:rPr>
        <w:t>3</w:t>
      </w:r>
      <w:r>
        <w:rPr>
          <w:rFonts w:cs="Arial" w:ascii="Arial" w:hAnsi="Arial"/>
        </w:rPr>
        <w:t xml:space="preserve"> § 13 odst. 1 písm. b) zákona o požární ochraně</w:t>
      </w:r>
    </w:p>
    <w:p>
      <w:pPr>
        <w:pStyle w:val="Poznmkapodarou"/>
        <w:rPr>
          <w:rFonts w:ascii="Arial" w:hAnsi="Arial"/>
        </w:rPr>
      </w:pPr>
      <w:r>
        <w:rPr>
          <w:rStyle w:val="Znakypropoznmkupodarou"/>
          <w:rFonts w:ascii="Arial" w:hAnsi="Arial"/>
        </w:rPr>
        <w:t>4</w:t>
      </w:r>
      <w:r>
        <w:rPr>
          <w:rFonts w:ascii="Arial" w:hAnsi="Arial"/>
        </w:rPr>
        <w:t xml:space="preserve"> § 7 odst. 1 zákona o požární ochraně</w:t>
      </w:r>
    </w:p>
    <w:p>
      <w:pPr>
        <w:pStyle w:val="Poznmkapodarou"/>
        <w:rPr>
          <w:rFonts w:ascii="Arial" w:hAnsi="Arial"/>
        </w:rPr>
      </w:pPr>
      <w:r>
        <w:rPr>
          <w:rStyle w:val="Znakypropoznmkupodarou"/>
          <w:rFonts w:ascii="Arial" w:hAnsi="Arial"/>
        </w:rPr>
        <w:t>5</w:t>
      </w:r>
      <w:r>
        <w:rPr>
          <w:rFonts w:ascii="Arial" w:hAnsi="Arial"/>
        </w:rPr>
        <w:t xml:space="preserve"> nařízení Středočeského kraje č 3/2010 ze dne 4.1.2010</w:t>
      </w:r>
    </w:p>
    <w:p>
      <w:pPr>
        <w:pStyle w:val="Poznmkapodarou"/>
        <w:rPr>
          <w:rFonts w:ascii="Arial" w:hAnsi="Arial" w:cs="Arial"/>
          <w:highlight w:val="yellow"/>
        </w:rPr>
      </w:pPr>
      <w:r>
        <w:rPr>
          <w:rFonts w:cs="Arial" w:ascii="Arial" w:hAnsi="Arial"/>
          <w:highlight w:val="yellow"/>
        </w:rPr>
      </w:r>
    </w:p>
    <w:p>
      <w:pPr>
        <w:pStyle w:val="NormalWeb"/>
        <w:spacing w:beforeAutospacing="0" w:before="0" w:afterAutospacing="0" w:after="0"/>
        <w:ind w:hanging="0"/>
        <w:rPr>
          <w:rFonts w:ascii="Arial" w:hAnsi="Arial" w:cs="Arial"/>
          <w:color w:val="auto"/>
          <w:sz w:val="22"/>
          <w:szCs w:val="22"/>
          <w:highlight w:val="yellow"/>
        </w:rPr>
      </w:pPr>
      <w:r>
        <w:rPr>
          <w:rFonts w:cs="Arial" w:ascii="Arial" w:hAnsi="Arial"/>
          <w:color w:val="auto"/>
          <w:sz w:val="22"/>
          <w:szCs w:val="22"/>
          <w:highlight w:val="yellow"/>
        </w:rPr>
      </w:r>
    </w:p>
    <w:p>
      <w:pPr>
        <w:pStyle w:val="NormalWeb"/>
        <w:numPr>
          <w:ilvl w:val="0"/>
          <w:numId w:val="7"/>
        </w:numPr>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Vlastníci nebo uživatelé zdrojů vody, které stanovila obec (čl. 6 odst. 3), jsou povinni oznámit obci:</w:t>
      </w:r>
    </w:p>
    <w:p>
      <w:pPr>
        <w:pStyle w:val="NormalWeb"/>
        <w:numPr>
          <w:ilvl w:val="0"/>
          <w:numId w:val="8"/>
        </w:numPr>
        <w:spacing w:beforeAutospacing="0" w:before="0" w:afterAutospacing="0" w:after="0"/>
        <w:ind w:left="1418" w:hanging="851"/>
        <w:rPr>
          <w:rFonts w:ascii="Arial" w:hAnsi="Arial" w:cs="Arial"/>
          <w:color w:val="auto"/>
          <w:sz w:val="22"/>
          <w:szCs w:val="22"/>
        </w:rPr>
      </w:pPr>
      <w:r>
        <w:rPr>
          <w:rFonts w:cs="Arial" w:ascii="Arial" w:hAnsi="Arial"/>
          <w:color w:val="auto"/>
          <w:sz w:val="22"/>
          <w:szCs w:val="22"/>
        </w:rPr>
        <w:t>nejméně 30 dní před plánovaným termínem provádění prací na vodním zdroji, které mohou dočasně omezit jeho využitelnost pro čerpání vody k hašení požárů, a dále předpokládanou dobu těchto prací,</w:t>
      </w:r>
    </w:p>
    <w:p>
      <w:pPr>
        <w:pStyle w:val="NormalWeb"/>
        <w:numPr>
          <w:ilvl w:val="0"/>
          <w:numId w:val="8"/>
        </w:numPr>
        <w:spacing w:lineRule="auto" w:line="240" w:beforeAutospacing="0" w:before="0" w:afterAutospacing="0" w:after="0"/>
        <w:ind w:left="1418" w:hanging="851"/>
        <w:rPr>
          <w:rFonts w:ascii="Arial" w:hAnsi="Arial" w:cs="Arial"/>
          <w:color w:val="auto"/>
          <w:sz w:val="22"/>
          <w:szCs w:val="22"/>
        </w:rPr>
      </w:pPr>
      <w:r>
        <w:rPr>
          <w:rFonts w:cs="Arial" w:ascii="Arial" w:hAnsi="Arial"/>
          <w:color w:val="auto"/>
          <w:sz w:val="22"/>
          <w:szCs w:val="22"/>
        </w:rPr>
        <w:t>neprodleně vznik mimořádné události na vodním zdroji, která by znemožnila jeho využití k čerpání vody pro hašení požárů.</w:t>
      </w:r>
    </w:p>
    <w:p>
      <w:pPr>
        <w:pStyle w:val="Nadpis4"/>
        <w:spacing w:lineRule="auto" w:line="240"/>
        <w:jc w:val="center"/>
        <w:rPr/>
      </w:pPr>
      <w:r>
        <w:rPr>
          <w:rFonts w:cs="Arial" w:ascii="Arial" w:hAnsi="Arial"/>
          <w:sz w:val="22"/>
          <w:szCs w:val="22"/>
        </w:rPr>
        <w:t>Čl. 7</w:t>
        <w:br/>
        <w:t>Seznam ohlašoven požárů a dalších míst, odkud lze hlásit požár, a způsob jejich označení</w:t>
      </w:r>
    </w:p>
    <w:p>
      <w:pPr>
        <w:pStyle w:val="NormalWeb"/>
        <w:spacing w:beforeAutospacing="0" w:before="0" w:afterAutospacing="0" w:after="0"/>
        <w:ind w:hanging="0"/>
        <w:rPr>
          <w:rFonts w:ascii="Arial" w:hAnsi="Arial" w:cs="Arial"/>
          <w:color w:val="000000"/>
          <w:sz w:val="22"/>
          <w:szCs w:val="22"/>
          <w:highlight w:val="none"/>
          <w:shd w:fill="auto" w:val="clear"/>
        </w:rPr>
      </w:pPr>
      <w:r>
        <w:rPr>
          <w:rFonts w:cs="Arial" w:ascii="Arial" w:hAnsi="Arial"/>
          <w:color w:val="000000"/>
          <w:sz w:val="22"/>
          <w:szCs w:val="22"/>
          <w:shd w:fill="auto" w:val="clear"/>
        </w:rPr>
      </w:r>
    </w:p>
    <w:p>
      <w:pPr>
        <w:pStyle w:val="NormalWeb"/>
        <w:numPr>
          <w:ilvl w:val="0"/>
          <w:numId w:val="9"/>
        </w:numPr>
        <w:spacing w:beforeAutospacing="0" w:before="0" w:afterAutospacing="0" w:after="0"/>
        <w:ind w:left="567" w:hanging="567"/>
        <w:rPr>
          <w:color w:val="000000"/>
          <w:highlight w:val="none"/>
          <w:shd w:fill="auto" w:val="clear"/>
        </w:rPr>
      </w:pPr>
      <w:r>
        <w:rPr>
          <w:rFonts w:cs="Arial" w:ascii="Arial" w:hAnsi="Arial"/>
          <w:color w:val="000000"/>
          <w:sz w:val="22"/>
          <w:szCs w:val="22"/>
          <w:shd w:fill="auto" w:val="clear"/>
        </w:rPr>
        <w:t>Obec zřídila následující ohlašovnu požárů, která je trvale označena tabulkou „Ohlašovna požárů”: budova obecního úřadu na adrese Ostrá 172, Ostrá, 289 22.</w:t>
      </w:r>
    </w:p>
    <w:p>
      <w:pPr>
        <w:pStyle w:val="NormalWeb"/>
        <w:spacing w:beforeAutospacing="0" w:before="0" w:afterAutospacing="0" w:after="0"/>
        <w:ind w:hanging="0"/>
        <w:rPr>
          <w:rFonts w:ascii="Arial" w:hAnsi="Arial" w:cs="Arial"/>
          <w:color w:val="000000"/>
          <w:sz w:val="22"/>
          <w:szCs w:val="22"/>
          <w:highlight w:val="none"/>
          <w:shd w:fill="auto" w:val="clear"/>
        </w:rPr>
      </w:pPr>
      <w:r>
        <w:rPr>
          <w:rFonts w:cs="Arial" w:ascii="Arial" w:hAnsi="Arial"/>
          <w:color w:val="000000"/>
          <w:sz w:val="22"/>
          <w:szCs w:val="22"/>
          <w:shd w:fill="auto" w:val="clear"/>
        </w:rPr>
      </w:r>
    </w:p>
    <w:p>
      <w:pPr>
        <w:pStyle w:val="NormalWeb"/>
        <w:numPr>
          <w:ilvl w:val="0"/>
          <w:numId w:val="9"/>
        </w:numPr>
        <w:spacing w:beforeAutospacing="0" w:before="0" w:afterAutospacing="0" w:after="0"/>
        <w:ind w:left="567" w:hanging="567"/>
        <w:rPr>
          <w:color w:val="000000"/>
          <w:highlight w:val="none"/>
          <w:shd w:fill="auto" w:val="clear"/>
        </w:rPr>
      </w:pPr>
      <w:r>
        <w:rPr>
          <w:rFonts w:cs="Arial" w:ascii="Arial" w:hAnsi="Arial"/>
          <w:color w:val="000000"/>
          <w:sz w:val="22"/>
          <w:szCs w:val="22"/>
          <w:shd w:fill="auto" w:val="clear"/>
        </w:rPr>
        <w:t>Dalšími místy zřízenými obcí, odkud lze hlásit požár a která jsou trvale označena tabulkou „Zde hlaste požár” nebo symbolem telefonního čísla „150” či „112“, jsou:</w:t>
      </w:r>
    </w:p>
    <w:p>
      <w:pPr>
        <w:pStyle w:val="Normal"/>
        <w:numPr>
          <w:ilvl w:val="0"/>
          <w:numId w:val="10"/>
        </w:numPr>
        <w:ind w:left="1418" w:hanging="851"/>
        <w:rPr>
          <w:rFonts w:ascii="Arial" w:hAnsi="Arial" w:cs="Arial"/>
          <w:sz w:val="22"/>
          <w:szCs w:val="22"/>
        </w:rPr>
      </w:pPr>
      <w:r>
        <w:rPr>
          <w:rFonts w:cs="Arial" w:ascii="Arial" w:hAnsi="Arial"/>
          <w:sz w:val="22"/>
          <w:szCs w:val="22"/>
        </w:rPr>
        <w:t>Ohlašovna Hasičského záchranného sboru ČR, tel: 150 nebo 112</w:t>
      </w:r>
    </w:p>
    <w:p>
      <w:pPr>
        <w:pStyle w:val="Normal"/>
        <w:numPr>
          <w:ilvl w:val="0"/>
          <w:numId w:val="10"/>
        </w:numPr>
        <w:ind w:left="720" w:hanging="153"/>
        <w:rPr>
          <w:rFonts w:ascii="Arial" w:hAnsi="Arial" w:cs="Arial"/>
          <w:sz w:val="22"/>
          <w:szCs w:val="22"/>
        </w:rPr>
      </w:pPr>
      <w:r>
        <w:rPr>
          <w:rFonts w:cs="Arial" w:ascii="Arial" w:hAnsi="Arial"/>
          <w:sz w:val="22"/>
          <w:szCs w:val="22"/>
        </w:rPr>
        <w:t>Služebna městské policie Lysá nad Labem, tel. 325 510 253, 325 552 065.</w:t>
      </w:r>
    </w:p>
    <w:p>
      <w:pPr>
        <w:pStyle w:val="Nadpis4"/>
        <w:spacing w:before="0" w:after="0"/>
        <w:jc w:val="center"/>
        <w:rPr>
          <w:rFonts w:ascii="Arial" w:hAnsi="Arial" w:cs="Arial"/>
          <w:sz w:val="22"/>
          <w:szCs w:val="22"/>
        </w:rPr>
      </w:pPr>
      <w:r>
        <w:rPr>
          <w:rFonts w:cs="Arial" w:ascii="Arial" w:hAnsi="Arial"/>
          <w:sz w:val="22"/>
          <w:szCs w:val="22"/>
        </w:rPr>
      </w:r>
    </w:p>
    <w:p>
      <w:pPr>
        <w:pStyle w:val="Nadpis4"/>
        <w:spacing w:before="0" w:after="0"/>
        <w:jc w:val="center"/>
        <w:rPr>
          <w:rFonts w:ascii="Arial" w:hAnsi="Arial" w:cs="Arial"/>
          <w:sz w:val="22"/>
          <w:szCs w:val="22"/>
        </w:rPr>
      </w:pPr>
      <w:r>
        <w:rPr>
          <w:rFonts w:cs="Arial" w:ascii="Arial" w:hAnsi="Arial"/>
          <w:sz w:val="22"/>
          <w:szCs w:val="22"/>
        </w:rPr>
        <w:t>Čl. 8</w:t>
        <w:br/>
        <w:t>Způsob vyhlášení požárního poplachu v obci</w:t>
      </w:r>
    </w:p>
    <w:p>
      <w:pPr>
        <w:pStyle w:val="NormalWeb"/>
        <w:spacing w:beforeAutospacing="0" w:before="0" w:afterAutospacing="0" w:after="0"/>
        <w:rPr>
          <w:rFonts w:ascii="Arial" w:hAnsi="Arial" w:cs="Arial"/>
          <w:color w:val="auto"/>
          <w:sz w:val="22"/>
          <w:szCs w:val="22"/>
        </w:rPr>
      </w:pPr>
      <w:r>
        <w:rPr>
          <w:rFonts w:cs="Arial" w:ascii="Arial" w:hAnsi="Arial"/>
          <w:color w:val="auto"/>
          <w:sz w:val="22"/>
          <w:szCs w:val="22"/>
        </w:rPr>
      </w:r>
    </w:p>
    <w:p>
      <w:pPr>
        <w:pStyle w:val="NormalWeb"/>
        <w:spacing w:beforeAutospacing="0" w:before="0" w:afterAutospacing="0" w:after="0"/>
        <w:ind w:left="567" w:hanging="567"/>
        <w:rPr>
          <w:rFonts w:ascii="Arial" w:hAnsi="Arial" w:cs="Arial"/>
          <w:color w:val="auto"/>
          <w:sz w:val="22"/>
          <w:szCs w:val="22"/>
        </w:rPr>
      </w:pPr>
      <w:r>
        <w:rPr>
          <w:rFonts w:cs="Arial" w:ascii="Arial" w:hAnsi="Arial"/>
          <w:color w:val="auto"/>
          <w:sz w:val="22"/>
          <w:szCs w:val="22"/>
        </w:rPr>
        <w:t xml:space="preserve">Vyhlášení požárního poplachu v obci se provádí: </w:t>
      </w:r>
    </w:p>
    <w:p>
      <w:pPr>
        <w:pStyle w:val="NormalWeb"/>
        <w:numPr>
          <w:ilvl w:val="0"/>
          <w:numId w:val="12"/>
        </w:numPr>
        <w:spacing w:beforeAutospacing="0" w:before="0" w:afterAutospacing="0" w:after="0"/>
        <w:ind w:left="1418" w:hanging="851"/>
        <w:rPr>
          <w:rFonts w:ascii="Arial" w:hAnsi="Arial" w:cs="Arial"/>
          <w:color w:val="auto"/>
          <w:sz w:val="22"/>
          <w:szCs w:val="22"/>
        </w:rPr>
      </w:pPr>
      <w:r>
        <w:rPr>
          <w:rFonts w:cs="Arial" w:ascii="Arial" w:hAnsi="Arial"/>
          <w:color w:val="auto"/>
          <w:sz w:val="22"/>
          <w:szCs w:val="22"/>
        </w:rPr>
        <w:t>signálem „POŽÁRNÍ POPLACH”, který je vyhlašován přerušovaným tónem sirény po dobu jedné minuty (25 sec. tón – 10 sec. pauza – 25 sec. tón) nebo</w:t>
      </w:r>
    </w:p>
    <w:p>
      <w:pPr>
        <w:pStyle w:val="NormalWeb"/>
        <w:numPr>
          <w:ilvl w:val="0"/>
          <w:numId w:val="12"/>
        </w:numPr>
        <w:spacing w:beforeAutospacing="0" w:before="0" w:afterAutospacing="0" w:after="0"/>
        <w:ind w:left="1418" w:hanging="851"/>
        <w:rPr>
          <w:rFonts w:ascii="Arial" w:hAnsi="Arial" w:cs="Arial"/>
          <w:color w:val="auto"/>
          <w:sz w:val="22"/>
          <w:szCs w:val="22"/>
        </w:rPr>
      </w:pPr>
      <w:r>
        <w:rPr>
          <w:rFonts w:cs="Arial" w:ascii="Arial" w:hAnsi="Arial"/>
          <w:color w:val="auto"/>
          <w:sz w:val="22"/>
          <w:szCs w:val="22"/>
        </w:rPr>
        <w:t>v případě poruchy technických zařízení pro vyhlášení požárního poplachu se požární poplach v obci vyhlašuje obecním rozhlasem.</w:t>
      </w:r>
    </w:p>
    <w:p>
      <w:pPr>
        <w:pStyle w:val="Nadpis4"/>
        <w:jc w:val="center"/>
        <w:rPr>
          <w:rFonts w:ascii="Arial" w:hAnsi="Arial" w:cs="Arial"/>
          <w:sz w:val="22"/>
          <w:szCs w:val="22"/>
        </w:rPr>
      </w:pPr>
      <w:r>
        <w:rPr>
          <w:rFonts w:cs="Arial" w:ascii="Arial" w:hAnsi="Arial"/>
          <w:sz w:val="22"/>
          <w:szCs w:val="22"/>
        </w:rPr>
        <w:t>Čl. 9</w:t>
      </w:r>
    </w:p>
    <w:p>
      <w:pPr>
        <w:pStyle w:val="Nzevzkona"/>
        <w:spacing w:before="0" w:after="60"/>
        <w:rPr>
          <w:rFonts w:ascii="Arial" w:hAnsi="Arial" w:cs="Arial"/>
          <w:sz w:val="22"/>
          <w:szCs w:val="22"/>
        </w:rPr>
      </w:pPr>
      <w:r>
        <w:rPr>
          <w:rFonts w:cs="Arial" w:ascii="Arial" w:hAnsi="Arial"/>
          <w:sz w:val="22"/>
          <w:szCs w:val="22"/>
        </w:rPr>
        <w:t>Seznam sil a prostředků jednotek požární ochrany</w:t>
      </w:r>
    </w:p>
    <w:p>
      <w:pPr>
        <w:pStyle w:val="NormalWeb"/>
        <w:spacing w:beforeAutospacing="0" w:before="0" w:afterAutospacing="0" w:after="0"/>
        <w:rPr>
          <w:rFonts w:ascii="Arial" w:hAnsi="Arial" w:cs="Arial"/>
          <w:sz w:val="22"/>
          <w:szCs w:val="22"/>
        </w:rPr>
      </w:pPr>
      <w:r>
        <w:rPr>
          <w:rFonts w:cs="Arial" w:ascii="Arial" w:hAnsi="Arial"/>
          <w:sz w:val="22"/>
          <w:szCs w:val="22"/>
        </w:rPr>
      </w:r>
    </w:p>
    <w:p>
      <w:pPr>
        <w:pStyle w:val="NormalWeb"/>
        <w:spacing w:beforeAutospacing="0" w:before="0" w:afterAutospacing="0" w:after="0"/>
        <w:ind w:hanging="0"/>
        <w:rPr>
          <w:rFonts w:ascii="Arial" w:hAnsi="Arial" w:cs="Arial"/>
          <w:color w:val="auto"/>
          <w:sz w:val="22"/>
          <w:szCs w:val="22"/>
        </w:rPr>
      </w:pPr>
      <w:r>
        <w:rPr>
          <w:rFonts w:cs="Arial" w:ascii="Arial" w:hAnsi="Arial"/>
          <w:sz w:val="22"/>
          <w:szCs w:val="22"/>
        </w:rPr>
        <w:t xml:space="preserve">Seznam sil a prostředků jednotek požární ochrany podle výpisu z požárního poplachového plánu Středočeského kraje je uveden v příloze </w:t>
      </w:r>
      <w:r>
        <w:rPr>
          <w:rFonts w:cs="Arial" w:ascii="Arial" w:hAnsi="Arial"/>
          <w:color w:val="auto"/>
          <w:sz w:val="22"/>
          <w:szCs w:val="22"/>
        </w:rPr>
        <w:t>č. 1 vyhlášky.</w:t>
      </w:r>
    </w:p>
    <w:p>
      <w:pPr>
        <w:pStyle w:val="Nadpis4"/>
        <w:jc w:val="center"/>
        <w:rPr>
          <w:rFonts w:ascii="Arial" w:hAnsi="Arial" w:cs="Arial"/>
          <w:sz w:val="22"/>
          <w:szCs w:val="22"/>
        </w:rPr>
      </w:pPr>
      <w:r>
        <w:rPr>
          <w:rFonts w:cs="Arial" w:ascii="Arial" w:hAnsi="Arial"/>
          <w:sz w:val="22"/>
          <w:szCs w:val="22"/>
        </w:rPr>
        <w:t>Čl. 10</w:t>
      </w:r>
    </w:p>
    <w:p>
      <w:pPr>
        <w:pStyle w:val="Tlotextu"/>
        <w:spacing w:before="0" w:after="0"/>
        <w:jc w:val="center"/>
        <w:rPr>
          <w:rFonts w:ascii="Arial" w:hAnsi="Arial" w:cs="Arial"/>
          <w:b/>
          <w:sz w:val="22"/>
          <w:szCs w:val="22"/>
        </w:rPr>
      </w:pPr>
      <w:r>
        <w:rPr>
          <w:rFonts w:cs="Arial" w:ascii="Arial" w:hAnsi="Arial"/>
          <w:b/>
          <w:sz w:val="22"/>
          <w:szCs w:val="22"/>
        </w:rPr>
        <w:t>Zrušovací ustanovení</w:t>
      </w:r>
    </w:p>
    <w:p>
      <w:pPr>
        <w:pStyle w:val="Tlotextu"/>
        <w:spacing w:before="0" w:after="0"/>
        <w:jc w:val="center"/>
        <w:rPr>
          <w:rFonts w:ascii="Arial" w:hAnsi="Arial" w:cs="Arial"/>
          <w:b/>
          <w:sz w:val="22"/>
          <w:szCs w:val="22"/>
        </w:rPr>
      </w:pPr>
      <w:r>
        <w:rPr>
          <w:rFonts w:cs="Arial" w:ascii="Arial" w:hAnsi="Arial"/>
          <w:b/>
          <w:sz w:val="22"/>
          <w:szCs w:val="22"/>
        </w:rPr>
      </w:r>
    </w:p>
    <w:p>
      <w:pPr>
        <w:pStyle w:val="Seznamoslovan"/>
        <w:spacing w:before="0" w:after="0"/>
        <w:ind w:left="0" w:hanging="0"/>
        <w:rPr>
          <w:rFonts w:ascii="Arial" w:hAnsi="Arial" w:cs="Arial"/>
          <w:sz w:val="22"/>
          <w:szCs w:val="22"/>
        </w:rPr>
      </w:pPr>
      <w:r>
        <w:rPr>
          <w:rFonts w:cs="Arial" w:ascii="Arial" w:hAnsi="Arial"/>
          <w:sz w:val="22"/>
          <w:szCs w:val="22"/>
        </w:rPr>
        <w:t>Touto vyhláškou se ruší obecně závazná vyhláška č. 2/2024, kterou se vydává Požární řád obce, ze dne 17. října 2010.</w:t>
      </w:r>
    </w:p>
    <w:p>
      <w:pPr>
        <w:pStyle w:val="Nadpis4"/>
        <w:jc w:val="center"/>
        <w:rPr>
          <w:rFonts w:ascii="Arial" w:hAnsi="Arial" w:cs="Arial"/>
          <w:sz w:val="22"/>
          <w:szCs w:val="22"/>
        </w:rPr>
      </w:pPr>
      <w:r>
        <w:rPr>
          <w:rFonts w:cs="Arial" w:ascii="Arial" w:hAnsi="Arial"/>
          <w:sz w:val="22"/>
          <w:szCs w:val="22"/>
        </w:rPr>
        <w:t>Čl. 11</w:t>
      </w:r>
    </w:p>
    <w:p>
      <w:pPr>
        <w:pStyle w:val="Normal"/>
        <w:jc w:val="center"/>
        <w:rPr>
          <w:rFonts w:ascii="Arial" w:hAnsi="Arial" w:cs="Arial"/>
          <w:b/>
          <w:bCs/>
          <w:sz w:val="22"/>
          <w:szCs w:val="22"/>
        </w:rPr>
      </w:pPr>
      <w:r>
        <w:rPr>
          <w:rFonts w:cs="Arial" w:ascii="Arial" w:hAnsi="Arial"/>
          <w:b/>
          <w:bCs/>
          <w:sz w:val="22"/>
          <w:szCs w:val="22"/>
        </w:rPr>
        <w:t>Účinnost</w:t>
      </w:r>
    </w:p>
    <w:p>
      <w:pPr>
        <w:pStyle w:val="Normal"/>
        <w:jc w:val="center"/>
        <w:rPr>
          <w:rFonts w:ascii="Arial" w:hAnsi="Arial" w:cs="Arial"/>
          <w:b/>
          <w:bCs/>
          <w:sz w:val="22"/>
          <w:szCs w:val="22"/>
        </w:rPr>
      </w:pPr>
      <w:r>
        <w:rPr>
          <w:rFonts w:cs="Arial" w:ascii="Arial" w:hAnsi="Arial"/>
          <w:b/>
          <w:bCs/>
          <w:sz w:val="22"/>
          <w:szCs w:val="22"/>
        </w:rPr>
      </w:r>
    </w:p>
    <w:p>
      <w:pPr>
        <w:pStyle w:val="Normal"/>
        <w:jc w:val="both"/>
        <w:rPr>
          <w:rFonts w:ascii="Arial" w:hAnsi="Arial" w:cs="Arial"/>
          <w:sz w:val="22"/>
          <w:szCs w:val="22"/>
        </w:rPr>
      </w:pPr>
      <w:r>
        <w:rPr>
          <w:rFonts w:cs="Arial" w:ascii="Arial" w:hAnsi="Arial"/>
          <w:sz w:val="22"/>
          <w:szCs w:val="22"/>
        </w:rPr>
        <w:t>Tato vyhláška nabývá účinnosti počátkem patnáctého dne následujícího po dni jejího vyhlášení.</w:t>
      </w:r>
    </w:p>
    <w:p>
      <w:pPr>
        <w:pStyle w:val="Normal"/>
        <w:tabs>
          <w:tab w:val="clear" w:pos="708"/>
          <w:tab w:val="left" w:pos="1080" w:leader="none"/>
          <w:tab w:val="left" w:pos="6660" w:leader="none"/>
        </w:tabs>
        <w:spacing w:lineRule="auto" w:line="288"/>
        <w:rPr>
          <w:rFonts w:ascii="Arial" w:hAnsi="Arial" w:cs="Arial"/>
          <w:sz w:val="22"/>
          <w:szCs w:val="22"/>
        </w:rPr>
      </w:pPr>
      <w:r>
        <w:rPr>
          <w:rFonts w:cs="Arial" w:ascii="Arial" w:hAnsi="Arial"/>
          <w:sz w:val="22"/>
          <w:szCs w:val="22"/>
        </w:rPr>
      </w:r>
    </w:p>
    <w:p>
      <w:pPr>
        <w:pStyle w:val="Normal"/>
        <w:tabs>
          <w:tab w:val="clear" w:pos="708"/>
          <w:tab w:val="left" w:pos="1080" w:leader="none"/>
          <w:tab w:val="left" w:pos="6660" w:leader="none"/>
        </w:tabs>
        <w:spacing w:lineRule="auto" w:line="288"/>
        <w:rPr>
          <w:rFonts w:ascii="Arial" w:hAnsi="Arial" w:cs="Arial"/>
          <w:sz w:val="22"/>
          <w:szCs w:val="22"/>
        </w:rPr>
      </w:pPr>
      <w:r>
        <w:rPr>
          <w:rFonts w:cs="Arial" w:ascii="Arial" w:hAnsi="Arial"/>
          <w:sz w:val="22"/>
          <w:szCs w:val="22"/>
        </w:rPr>
      </w:r>
    </w:p>
    <w:p>
      <w:pPr>
        <w:pStyle w:val="Normal"/>
        <w:tabs>
          <w:tab w:val="clear" w:pos="708"/>
          <w:tab w:val="left" w:pos="1080" w:leader="none"/>
          <w:tab w:val="left" w:pos="6660" w:leader="none"/>
        </w:tabs>
        <w:spacing w:lineRule="auto" w:line="288"/>
        <w:jc w:val="center"/>
        <w:rPr>
          <w:rFonts w:ascii="Arial" w:hAnsi="Arial" w:cs="Arial"/>
          <w:sz w:val="22"/>
          <w:szCs w:val="22"/>
        </w:rPr>
      </w:pPr>
      <w:r>
        <w:rPr>
          <w:rFonts w:cs="Arial" w:ascii="Arial" w:hAnsi="Arial"/>
          <w:sz w:val="22"/>
          <w:szCs w:val="22"/>
        </w:rPr>
        <w:t>Mgr. Jana Kaucká v. r.                                           Ing. Jiří Čenský v. r.</w:t>
      </w:r>
    </w:p>
    <w:p>
      <w:pPr>
        <w:pStyle w:val="Normal"/>
        <w:tabs>
          <w:tab w:val="clear" w:pos="708"/>
          <w:tab w:val="left" w:pos="1080" w:leader="none"/>
          <w:tab w:val="left" w:pos="7020" w:leader="none"/>
        </w:tabs>
        <w:spacing w:lineRule="auto" w:line="288"/>
        <w:rPr>
          <w:rFonts w:ascii="Arial" w:hAnsi="Arial" w:cs="Arial"/>
          <w:sz w:val="22"/>
          <w:szCs w:val="22"/>
        </w:rPr>
      </w:pPr>
      <w:r>
        <w:rPr>
          <w:rFonts w:cs="Arial" w:ascii="Arial" w:hAnsi="Arial"/>
          <w:sz w:val="22"/>
          <w:szCs w:val="22"/>
        </w:rPr>
        <w:tab/>
        <w:t xml:space="preserve">           starostka                                                            místostarosta</w:t>
      </w:r>
    </w:p>
    <w:p>
      <w:pPr>
        <w:pStyle w:val="Normal"/>
        <w:tabs>
          <w:tab w:val="clear" w:pos="708"/>
          <w:tab w:val="left" w:pos="1080" w:leader="none"/>
          <w:tab w:val="left" w:pos="7020" w:leader="none"/>
        </w:tabs>
        <w:spacing w:lineRule="auto" w:line="288"/>
        <w:rPr>
          <w:rFonts w:ascii="Arial" w:hAnsi="Arial" w:cs="Arial"/>
          <w:sz w:val="22"/>
          <w:szCs w:val="22"/>
        </w:rPr>
      </w:pPr>
      <w:r>
        <w:rPr/>
      </w:r>
    </w:p>
    <w:p>
      <w:pPr>
        <w:pStyle w:val="Normal"/>
        <w:tabs>
          <w:tab w:val="clear" w:pos="708"/>
          <w:tab w:val="left" w:pos="1080" w:leader="none"/>
          <w:tab w:val="left" w:pos="7020" w:leader="none"/>
        </w:tabs>
        <w:spacing w:lineRule="auto" w:line="288"/>
        <w:rPr>
          <w:rFonts w:ascii="Arial" w:hAnsi="Arial" w:cs="Arial"/>
          <w:sz w:val="22"/>
          <w:szCs w:val="22"/>
        </w:rPr>
      </w:pPr>
      <w:r>
        <w:rPr/>
      </w:r>
    </w:p>
    <w:p>
      <w:pPr>
        <w:pStyle w:val="Normal"/>
        <w:tabs>
          <w:tab w:val="clear" w:pos="708"/>
          <w:tab w:val="left" w:pos="1080" w:leader="none"/>
          <w:tab w:val="left" w:pos="7020" w:leader="none"/>
        </w:tabs>
        <w:spacing w:lineRule="auto" w:line="288"/>
        <w:rPr>
          <w:rFonts w:ascii="Arial" w:hAnsi="Arial" w:cs="Arial"/>
          <w:sz w:val="22"/>
          <w:szCs w:val="22"/>
        </w:rPr>
      </w:pPr>
      <w:r>
        <w:rPr/>
      </w:r>
    </w:p>
    <w:p>
      <w:pPr>
        <w:pStyle w:val="Normal"/>
        <w:tabs>
          <w:tab w:val="clear" w:pos="708"/>
          <w:tab w:val="left" w:pos="1080" w:leader="none"/>
          <w:tab w:val="left" w:pos="7020" w:leader="none"/>
        </w:tabs>
        <w:spacing w:lineRule="auto" w:line="288"/>
        <w:rPr>
          <w:rFonts w:ascii="Arial" w:hAnsi="Arial" w:cs="Arial"/>
          <w:sz w:val="22"/>
          <w:szCs w:val="22"/>
        </w:rPr>
      </w:pPr>
      <w:r>
        <w:rPr/>
      </w:r>
    </w:p>
    <w:p>
      <w:pPr>
        <w:pStyle w:val="Normal"/>
        <w:tabs>
          <w:tab w:val="clear" w:pos="708"/>
          <w:tab w:val="left" w:pos="1080" w:leader="none"/>
          <w:tab w:val="left" w:pos="7020" w:leader="none"/>
        </w:tabs>
        <w:spacing w:lineRule="auto" w:line="288"/>
        <w:rPr>
          <w:rFonts w:ascii="Arial" w:hAnsi="Arial" w:cs="Arial"/>
          <w:sz w:val="22"/>
          <w:szCs w:val="22"/>
        </w:rPr>
      </w:pPr>
      <w:r>
        <w:rPr/>
      </w:r>
    </w:p>
    <w:p>
      <w:pPr>
        <w:pStyle w:val="Normal"/>
        <w:tabs>
          <w:tab w:val="clear" w:pos="708"/>
          <w:tab w:val="left" w:pos="1080" w:leader="none"/>
          <w:tab w:val="left" w:pos="7020" w:leader="none"/>
        </w:tabs>
        <w:spacing w:lineRule="auto" w:line="288"/>
        <w:rPr>
          <w:rFonts w:ascii="Arial" w:hAnsi="Arial" w:cs="Arial"/>
          <w:sz w:val="22"/>
          <w:szCs w:val="22"/>
        </w:rPr>
      </w:pPr>
      <w:r>
        <w:rPr/>
      </w:r>
    </w:p>
    <w:p>
      <w:pPr>
        <w:pStyle w:val="Normal"/>
        <w:spacing w:before="0" w:after="120"/>
        <w:rPr>
          <w:rFonts w:ascii="Arial" w:hAnsi="Arial" w:cs="Arial"/>
          <w:b/>
          <w:sz w:val="22"/>
          <w:szCs w:val="22"/>
        </w:rPr>
      </w:pPr>
      <w:r>
        <w:rPr>
          <w:rFonts w:cs="Arial" w:ascii="Arial" w:hAnsi="Arial"/>
          <w:b/>
          <w:sz w:val="22"/>
          <w:szCs w:val="22"/>
        </w:rPr>
        <w:t>Příloha č. 1 k obecně závazné vyhlášce, kterou se vydává požární řád</w:t>
      </w:r>
    </w:p>
    <w:p>
      <w:pPr>
        <w:pStyle w:val="Normal"/>
        <w:spacing w:before="0" w:after="120"/>
        <w:jc w:val="both"/>
        <w:rPr>
          <w:rFonts w:ascii="Arial" w:hAnsi="Arial" w:cs="Arial"/>
          <w:sz w:val="22"/>
          <w:szCs w:val="22"/>
        </w:rPr>
      </w:pPr>
      <w:r>
        <w:rPr>
          <w:rFonts w:cs="Arial" w:ascii="Arial" w:hAnsi="Arial"/>
          <w:sz w:val="22"/>
          <w:szCs w:val="22"/>
        </w:rPr>
        <w:t>Seznam sil a prostředků jednotek požární ochrany z požárního poplachového plánu Středočeského kraje.</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b/>
          <w:sz w:val="22"/>
          <w:szCs w:val="22"/>
        </w:rPr>
      </w:pPr>
      <w:r>
        <w:rPr>
          <w:rFonts w:cs="Arial" w:ascii="Arial" w:hAnsi="Arial"/>
          <w:b/>
          <w:sz w:val="22"/>
          <w:szCs w:val="22"/>
        </w:rPr>
        <w:t>Příloha č. 2 k obecně závazné vyhlášce, kterou se vydává požární řád</w:t>
      </w:r>
    </w:p>
    <w:p>
      <w:pPr>
        <w:pStyle w:val="Normal"/>
        <w:spacing w:before="0" w:after="120"/>
        <w:jc w:val="both"/>
        <w:rPr>
          <w:rFonts w:ascii="Arial" w:hAnsi="Arial" w:cs="Arial"/>
          <w:sz w:val="22"/>
          <w:szCs w:val="22"/>
        </w:rPr>
      </w:pPr>
      <w:r>
        <w:rPr>
          <w:rFonts w:cs="Arial" w:ascii="Arial" w:hAnsi="Arial"/>
          <w:sz w:val="22"/>
          <w:szCs w:val="22"/>
        </w:rPr>
        <w:t>Požární technika a věcné prostředky požární ochrany společné jednotky požární ochrany.</w:t>
      </w:r>
    </w:p>
    <w:p>
      <w:pPr>
        <w:pStyle w:val="Normal"/>
        <w:spacing w:before="0" w:after="120"/>
        <w:jc w:val="both"/>
        <w:rPr>
          <w:rFonts w:ascii="Arial" w:hAnsi="Arial" w:cs="Arial"/>
          <w:sz w:val="22"/>
          <w:szCs w:val="22"/>
        </w:rPr>
      </w:pPr>
      <w:r>
        <w:rPr>
          <w:rFonts w:cs="Arial" w:ascii="Arial" w:hAnsi="Arial"/>
          <w:sz w:val="22"/>
          <w:szCs w:val="22"/>
        </w:rPr>
      </w:r>
    </w:p>
    <w:p>
      <w:pPr>
        <w:pStyle w:val="Normal"/>
        <w:spacing w:before="0" w:after="120"/>
        <w:rPr>
          <w:rFonts w:ascii="Arial" w:hAnsi="Arial" w:cs="Arial"/>
          <w:b/>
          <w:sz w:val="22"/>
          <w:szCs w:val="22"/>
        </w:rPr>
      </w:pPr>
      <w:r>
        <w:rPr>
          <w:rFonts w:cs="Arial" w:ascii="Arial" w:hAnsi="Arial"/>
          <w:b/>
          <w:sz w:val="22"/>
          <w:szCs w:val="22"/>
        </w:rPr>
        <w:t>Příloha č. 3 k obecně závazné vyhlášce, kterou se vydává požární řád</w:t>
      </w:r>
    </w:p>
    <w:p>
      <w:pPr>
        <w:pStyle w:val="Normal"/>
        <w:numPr>
          <w:ilvl w:val="0"/>
          <w:numId w:val="1"/>
        </w:numPr>
        <w:spacing w:before="0" w:after="120"/>
        <w:jc w:val="both"/>
        <w:rPr>
          <w:rFonts w:ascii="Arial" w:hAnsi="Arial" w:cs="Arial"/>
          <w:sz w:val="22"/>
          <w:szCs w:val="22"/>
        </w:rPr>
      </w:pPr>
      <w:r>
        <w:rPr>
          <w:rFonts w:cs="Arial" w:ascii="Arial" w:hAnsi="Arial"/>
          <w:sz w:val="22"/>
          <w:szCs w:val="22"/>
        </w:rPr>
        <w:t>Přehled zdrojů vody (výpis z nařízení kraje + stanovené zdroje vody nad rámec tohoto nařízení kraje).</w:t>
      </w:r>
    </w:p>
    <w:p>
      <w:pPr>
        <w:pStyle w:val="Normal"/>
        <w:numPr>
          <w:ilvl w:val="0"/>
          <w:numId w:val="1"/>
        </w:numPr>
        <w:spacing w:before="0" w:after="120"/>
        <w:jc w:val="both"/>
        <w:rPr>
          <w:rFonts w:ascii="Arial" w:hAnsi="Arial" w:cs="Arial"/>
          <w:sz w:val="22"/>
          <w:szCs w:val="22"/>
        </w:rPr>
      </w:pPr>
      <w:r>
        <w:rPr>
          <w:rFonts w:cs="Arial" w:ascii="Arial" w:hAnsi="Arial"/>
          <w:sz w:val="22"/>
          <w:szCs w:val="22"/>
        </w:rPr>
        <w:t>Plánek obce s vyznačením zdrojů vody pro hašení požárů, čerpacích stanovišť a směru příjezdu k nim.</w:t>
      </w:r>
    </w:p>
    <w:p>
      <w:pPr>
        <w:pStyle w:val="Normal"/>
        <w:spacing w:before="0" w:after="120"/>
        <w:rPr>
          <w:rFonts w:ascii="Arial" w:hAnsi="Arial" w:cs="Arial"/>
          <w:sz w:val="22"/>
          <w:szCs w:val="22"/>
        </w:rPr>
      </w:pPr>
      <w:r>
        <w:rPr>
          <w:rFonts w:cs="Arial" w:ascii="Arial" w:hAnsi="Arial"/>
          <w:sz w:val="22"/>
          <w:szCs w:val="22"/>
        </w:rPr>
      </w:r>
      <w:r>
        <w:br w:type="page"/>
      </w:r>
    </w:p>
    <w:p>
      <w:pPr>
        <w:pStyle w:val="Normal"/>
        <w:widowControl w:val="false"/>
        <w:spacing w:lineRule="auto" w:line="240"/>
        <w:ind w:hanging="0"/>
        <w:rPr>
          <w:b/>
          <w:color w:val="000000"/>
          <w:sz w:val="28"/>
          <w:szCs w:val="28"/>
        </w:rPr>
      </w:pPr>
      <w:r>
        <w:rPr>
          <w:b/>
          <w:color w:val="000000"/>
          <w:sz w:val="28"/>
          <w:szCs w:val="28"/>
        </w:rPr>
        <w:tab/>
        <w:t xml:space="preserve">Příloha č. 1 k obecně závazné vyhlášce, kterou se vydává požární řád </w:t>
      </w:r>
    </w:p>
    <w:p>
      <w:pPr>
        <w:pStyle w:val="LO-normal"/>
        <w:widowControl w:val="false"/>
        <w:spacing w:lineRule="auto" w:line="240"/>
        <w:ind w:left="868" w:hanging="0"/>
        <w:rPr>
          <w:b/>
          <w:sz w:val="24"/>
          <w:szCs w:val="24"/>
        </w:rPr>
      </w:pPr>
      <w:r>
        <w:rPr>
          <w:b/>
          <w:sz w:val="24"/>
          <w:szCs w:val="24"/>
        </w:rPr>
      </w:r>
    </w:p>
    <w:p>
      <w:pPr>
        <w:pStyle w:val="LO-normal"/>
        <w:widowControl w:val="false"/>
        <w:spacing w:lineRule="auto" w:line="228" w:before="116" w:after="0"/>
        <w:ind w:left="866" w:hanging="4"/>
        <w:rPr>
          <w:color w:val="000000"/>
          <w:sz w:val="24"/>
          <w:szCs w:val="24"/>
        </w:rPr>
      </w:pPr>
      <w:r>
        <w:rPr>
          <w:color w:val="000000"/>
          <w:sz w:val="24"/>
          <w:szCs w:val="24"/>
        </w:rPr>
        <w:t xml:space="preserve">Seznam sil a prostředků jednotek požární ochrany z požárního poplachového plánu </w:t>
      </w:r>
    </w:p>
    <w:p>
      <w:pPr>
        <w:pStyle w:val="LO-normal"/>
        <w:widowControl w:val="false"/>
        <w:spacing w:lineRule="auto" w:line="228" w:before="116" w:after="0"/>
        <w:ind w:left="866" w:hanging="4"/>
        <w:rPr>
          <w:color w:val="000000"/>
          <w:sz w:val="24"/>
          <w:szCs w:val="24"/>
        </w:rPr>
      </w:pPr>
      <w:r>
        <w:rPr>
          <w:color w:val="000000"/>
          <w:sz w:val="24"/>
          <w:szCs w:val="24"/>
        </w:rPr>
        <w:t xml:space="preserve">Středočeského  kraje. </w:t>
      </w:r>
    </w:p>
    <w:p>
      <w:pPr>
        <w:pStyle w:val="LO-normal"/>
        <w:widowControl w:val="false"/>
        <w:spacing w:lineRule="auto" w:line="228" w:before="116" w:after="0"/>
        <w:ind w:left="866" w:hanging="4"/>
        <w:rPr>
          <w:sz w:val="24"/>
          <w:szCs w:val="24"/>
        </w:rPr>
      </w:pPr>
      <w:r>
        <w:rPr>
          <w:sz w:val="24"/>
          <w:szCs w:val="24"/>
        </w:rPr>
      </w:r>
    </w:p>
    <w:p>
      <w:pPr>
        <w:pStyle w:val="LO-normal"/>
        <w:widowControl w:val="false"/>
        <w:spacing w:lineRule="auto" w:line="240" w:before="248" w:after="0"/>
        <w:ind w:left="851" w:right="128" w:firstLine="4"/>
        <w:rPr>
          <w:color w:val="000000"/>
          <w:sz w:val="24"/>
          <w:szCs w:val="24"/>
        </w:rPr>
      </w:pPr>
      <w:r>
        <w:rPr>
          <w:color w:val="000000"/>
          <w:sz w:val="24"/>
          <w:szCs w:val="24"/>
        </w:rPr>
        <w:t xml:space="preserve">V závislosti na stupni poplachu zasahují v obci </w:t>
      </w:r>
      <w:r>
        <w:rPr>
          <w:sz w:val="24"/>
          <w:szCs w:val="24"/>
        </w:rPr>
        <w:t>Ostrá</w:t>
      </w:r>
      <w:r>
        <w:rPr>
          <w:color w:val="000000"/>
          <w:sz w:val="24"/>
          <w:szCs w:val="24"/>
        </w:rPr>
        <w:t xml:space="preserve"> tyto jednotky požární ochrany:</w:t>
      </w:r>
    </w:p>
    <w:p>
      <w:pPr>
        <w:pStyle w:val="LO-normal"/>
        <w:widowControl w:val="false"/>
        <w:spacing w:lineRule="auto" w:line="240" w:before="248" w:after="0"/>
        <w:ind w:left="851" w:right="128" w:firstLine="4"/>
        <w:rPr>
          <w:sz w:val="24"/>
          <w:szCs w:val="24"/>
        </w:rPr>
      </w:pPr>
      <w:r>
        <w:rPr>
          <w:sz w:val="24"/>
          <w:szCs w:val="24"/>
        </w:rPr>
      </w:r>
    </w:p>
    <w:p>
      <w:pPr>
        <w:pStyle w:val="LO-normal"/>
        <w:widowControl w:val="false"/>
        <w:spacing w:lineRule="auto" w:line="240" w:before="248" w:after="0"/>
        <w:ind w:left="851" w:right="128" w:firstLine="4"/>
        <w:rPr>
          <w:color w:val="000000"/>
          <w:sz w:val="24"/>
          <w:szCs w:val="24"/>
        </w:rPr>
      </w:pPr>
      <w:r>
        <w:rPr>
          <w:sz w:val="24"/>
          <w:szCs w:val="24"/>
        </w:rPr>
        <w:t xml:space="preserve">(zdroj: </w:t>
      </w:r>
      <w:hyperlink r:id="rId2">
        <w:r>
          <w:rPr>
            <w:color w:val="1155CC"/>
            <w:sz w:val="24"/>
            <w:szCs w:val="24"/>
            <w:u w:val="single"/>
          </w:rPr>
          <w:t>HZS Středočeského kraje - Soubory ke stažení - Hasičský záchranný sbor České republiky (hzscr.cz)</w:t>
        </w:r>
      </w:hyperlink>
      <w:r>
        <w:rPr>
          <w:sz w:val="24"/>
          <w:szCs w:val="24"/>
        </w:rPr>
        <w:t>)</w:t>
      </w:r>
    </w:p>
    <w:p>
      <w:pPr>
        <w:pStyle w:val="LO-normal"/>
        <w:widowControl w:val="false"/>
        <w:numPr>
          <w:ilvl w:val="0"/>
          <w:numId w:val="0"/>
        </w:numPr>
        <w:spacing w:lineRule="auto" w:line="240" w:before="248" w:after="0"/>
        <w:ind w:left="1440" w:right="128" w:hanging="0"/>
        <w:rPr>
          <w:sz w:val="24"/>
          <w:szCs w:val="24"/>
        </w:rPr>
      </w:pPr>
      <w:r>
        <w:rPr>
          <w:sz w:val="24"/>
          <w:szCs w:val="24"/>
        </w:rPr>
        <w:t xml:space="preserve">1. </w:t>
      </w:r>
      <w:r>
        <w:rPr>
          <w:sz w:val="24"/>
          <w:szCs w:val="24"/>
        </w:rPr>
        <w:t>stupeň</w:t>
        <w:tab/>
        <w:tab/>
        <w:t>2. stupeň</w:t>
        <w:tab/>
        <w:tab/>
        <w:t>3. stupeň</w:t>
        <w:tab/>
        <w:tab/>
        <w:t xml:space="preserve">     zvláštní stupeň</w:t>
      </w:r>
    </w:p>
    <w:p>
      <w:pPr>
        <w:pStyle w:val="LO-normal"/>
        <w:widowControl w:val="false"/>
        <w:numPr>
          <w:ilvl w:val="0"/>
          <w:numId w:val="2"/>
        </w:numPr>
        <w:spacing w:lineRule="auto" w:line="240"/>
        <w:ind w:left="1440" w:right="128" w:hanging="360"/>
        <w:rPr>
          <w:sz w:val="24"/>
          <w:szCs w:val="24"/>
        </w:rPr>
      </w:pPr>
      <w:r>
        <w:rPr>
          <w:sz w:val="20"/>
          <w:szCs w:val="20"/>
        </w:rPr>
        <w:t>Lysá n.L.</w:t>
        <w:tab/>
        <w:tab/>
        <w:t>- Semice</w:t>
        <w:tab/>
        <w:tab/>
        <w:t>- stanice Český Brod      - stanice Stará Boleslav</w:t>
      </w:r>
    </w:p>
    <w:p>
      <w:pPr>
        <w:pStyle w:val="LO-normal"/>
        <w:widowControl w:val="false"/>
        <w:numPr>
          <w:ilvl w:val="0"/>
          <w:numId w:val="2"/>
        </w:numPr>
        <w:spacing w:lineRule="auto" w:line="240"/>
        <w:ind w:left="1440" w:right="128" w:hanging="360"/>
        <w:rPr>
          <w:sz w:val="24"/>
          <w:szCs w:val="24"/>
        </w:rPr>
      </w:pPr>
      <w:r>
        <w:rPr>
          <w:sz w:val="24"/>
          <w:szCs w:val="24"/>
        </w:rPr>
        <w:t>stanice Milovice</w:t>
        <w:tab/>
        <w:t>- Milovice</w:t>
        <w:tab/>
        <w:tab/>
        <w:t>- Nymburk</w:t>
        <w:tab/>
        <w:tab/>
        <w:tab/>
        <w:t>- Skorkov</w:t>
      </w:r>
    </w:p>
    <w:p>
      <w:pPr>
        <w:pStyle w:val="LO-normal"/>
        <w:widowControl w:val="false"/>
        <w:numPr>
          <w:ilvl w:val="0"/>
          <w:numId w:val="2"/>
        </w:numPr>
        <w:spacing w:lineRule="auto" w:line="240"/>
        <w:ind w:left="1440" w:right="128" w:hanging="360"/>
        <w:rPr>
          <w:sz w:val="24"/>
          <w:szCs w:val="24"/>
        </w:rPr>
      </w:pPr>
      <w:r>
        <w:rPr>
          <w:sz w:val="24"/>
          <w:szCs w:val="24"/>
        </w:rPr>
        <w:t>Stanice Nymburk</w:t>
        <w:tab/>
        <w:t>- Hronětice</w:t>
        <w:tab/>
        <w:tab/>
        <w:t>- Sojovice</w:t>
        <w:tab/>
        <w:tab/>
        <w:t>- stanice Poděbrady</w:t>
      </w:r>
    </w:p>
    <w:p>
      <w:pPr>
        <w:pStyle w:val="LO-normal"/>
        <w:widowControl w:val="false"/>
        <w:numPr>
          <w:ilvl w:val="0"/>
          <w:numId w:val="2"/>
        </w:numPr>
        <w:spacing w:lineRule="auto" w:line="240"/>
        <w:ind w:left="1440" w:right="128" w:hanging="360"/>
        <w:rPr>
          <w:sz w:val="24"/>
          <w:szCs w:val="24"/>
        </w:rPr>
      </w:pPr>
      <w:r>
        <w:rPr>
          <w:sz w:val="24"/>
          <w:szCs w:val="24"/>
        </w:rPr>
        <w:t>SŽ Nymburk</w:t>
        <w:tab/>
        <w:tab/>
        <w:t>- Přerov n.L.</w:t>
        <w:tab/>
        <w:tab/>
        <w:t>- Kounice</w:t>
        <w:tab/>
        <w:tab/>
        <w:tab/>
        <w:t>- Poříčany</w:t>
      </w:r>
    </w:p>
    <w:p>
      <w:pPr>
        <w:pStyle w:val="LO-normal"/>
        <w:widowControl w:val="false"/>
        <w:numPr>
          <w:ilvl w:val="0"/>
          <w:numId w:val="2"/>
        </w:numPr>
        <w:spacing w:lineRule="auto" w:line="240"/>
        <w:ind w:left="1440" w:right="128" w:hanging="360"/>
        <w:rPr>
          <w:sz w:val="24"/>
          <w:szCs w:val="24"/>
        </w:rPr>
      </w:pPr>
      <w:r>
        <w:rPr>
          <w:sz w:val="24"/>
          <w:szCs w:val="24"/>
        </w:rPr>
        <w:t xml:space="preserve">                                 </w:t>
      </w:r>
      <w:r>
        <w:rPr>
          <w:sz w:val="24"/>
          <w:szCs w:val="24"/>
        </w:rPr>
        <w:t xml:space="preserve">- </w:t>
      </w:r>
      <w:r>
        <w:rPr>
          <w:sz w:val="20"/>
          <w:szCs w:val="20"/>
        </w:rPr>
        <w:t>Stanice Benátky n. J.</w:t>
      </w:r>
      <w:r>
        <w:rPr>
          <w:sz w:val="24"/>
          <w:szCs w:val="24"/>
        </w:rPr>
        <w:t xml:space="preserve">  - Bříství</w:t>
        <w:tab/>
        <w:tab/>
        <w:tab/>
        <w:t>- Čelákovice</w:t>
      </w:r>
    </w:p>
    <w:p>
      <w:pPr>
        <w:pStyle w:val="LO-normal"/>
        <w:widowControl w:val="false"/>
        <w:numPr>
          <w:ilvl w:val="0"/>
          <w:numId w:val="2"/>
        </w:numPr>
        <w:spacing w:lineRule="auto" w:line="240"/>
        <w:ind w:left="1440" w:right="128" w:hanging="360"/>
        <w:rPr>
          <w:sz w:val="24"/>
          <w:szCs w:val="24"/>
        </w:rPr>
      </w:pPr>
      <w:r>
        <w:rPr>
          <w:sz w:val="24"/>
          <w:szCs w:val="24"/>
        </w:rPr>
        <w:t xml:space="preserve">                                 </w:t>
      </w:r>
      <w:r>
        <w:rPr>
          <w:sz w:val="24"/>
          <w:szCs w:val="24"/>
        </w:rPr>
        <w:t>- Stará Lysá</w:t>
      </w:r>
    </w:p>
    <w:p>
      <w:pPr>
        <w:pStyle w:val="LO-normal"/>
        <w:widowControl w:val="false"/>
        <w:spacing w:lineRule="auto" w:line="240"/>
        <w:ind w:left="1440" w:right="128" w:hanging="360"/>
        <w:rPr>
          <w:sz w:val="24"/>
          <w:szCs w:val="24"/>
        </w:rPr>
      </w:pPr>
      <w:r>
        <w:rPr>
          <w:sz w:val="24"/>
          <w:szCs w:val="24"/>
        </w:rPr>
      </w:r>
    </w:p>
    <w:p>
      <w:pPr>
        <w:pStyle w:val="LO-normal"/>
        <w:widowControl w:val="false"/>
        <w:spacing w:lineRule="auto" w:line="240"/>
        <w:ind w:left="1440" w:right="128" w:hanging="360"/>
        <w:rPr>
          <w:sz w:val="24"/>
          <w:szCs w:val="24"/>
        </w:rPr>
      </w:pPr>
      <w:r>
        <w:rPr>
          <w:sz w:val="24"/>
          <w:szCs w:val="24"/>
        </w:rPr>
      </w:r>
    </w:p>
    <w:p>
      <w:pPr>
        <w:pStyle w:val="LO-normal"/>
        <w:widowControl w:val="false"/>
        <w:spacing w:lineRule="auto" w:line="240"/>
        <w:ind w:left="1440" w:right="128" w:hanging="360"/>
        <w:rPr>
          <w:sz w:val="24"/>
          <w:szCs w:val="24"/>
        </w:rPr>
      </w:pPr>
      <w:r>
        <w:rPr>
          <w:sz w:val="24"/>
          <w:szCs w:val="24"/>
        </w:rPr>
      </w:r>
    </w:p>
    <w:p>
      <w:pPr>
        <w:pStyle w:val="LO-normal"/>
        <w:widowControl w:val="false"/>
        <w:spacing w:lineRule="auto" w:line="240"/>
        <w:ind w:left="1440" w:right="128" w:hanging="360"/>
        <w:rPr>
          <w:sz w:val="24"/>
          <w:szCs w:val="24"/>
        </w:rPr>
      </w:pPr>
      <w:r>
        <w:rPr>
          <w:sz w:val="24"/>
          <w:szCs w:val="24"/>
        </w:rPr>
      </w:r>
    </w:p>
    <w:p>
      <w:pPr>
        <w:pStyle w:val="LO-normal"/>
        <w:widowControl w:val="false"/>
        <w:spacing w:lineRule="auto" w:line="240"/>
        <w:ind w:left="1440" w:right="128" w:hanging="360"/>
        <w:rPr>
          <w:sz w:val="24"/>
          <w:szCs w:val="24"/>
        </w:rPr>
      </w:pPr>
      <w:r>
        <w:rPr>
          <w:sz w:val="24"/>
          <w:szCs w:val="24"/>
        </w:rPr>
      </w:r>
    </w:p>
    <w:p>
      <w:pPr>
        <w:pStyle w:val="LO-normal"/>
        <w:widowControl w:val="false"/>
        <w:spacing w:lineRule="auto" w:line="240"/>
        <w:ind w:left="1440" w:right="128" w:hanging="360"/>
        <w:rPr>
          <w:sz w:val="24"/>
          <w:szCs w:val="24"/>
        </w:rPr>
      </w:pPr>
      <w:r>
        <w:rPr>
          <w:sz w:val="24"/>
          <w:szCs w:val="24"/>
        </w:rPr>
      </w:r>
    </w:p>
    <w:p>
      <w:pPr>
        <w:pStyle w:val="LO-normal"/>
        <w:widowControl w:val="false"/>
        <w:spacing w:lineRule="auto" w:line="240" w:before="248" w:after="0"/>
        <w:ind w:right="128" w:firstLine="720"/>
        <w:rPr>
          <w:b/>
          <w:sz w:val="28"/>
          <w:szCs w:val="28"/>
        </w:rPr>
      </w:pPr>
      <w:r>
        <w:rPr>
          <w:b/>
          <w:sz w:val="28"/>
          <w:szCs w:val="28"/>
        </w:rPr>
        <w:t xml:space="preserve">Příloha č. 2 k obecně závazné vyhlášce, kterou se vydává požární řád </w:t>
      </w:r>
    </w:p>
    <w:p>
      <w:pPr>
        <w:pStyle w:val="LO-normal"/>
        <w:widowControl w:val="false"/>
        <w:spacing w:lineRule="auto" w:line="240" w:before="248" w:after="0"/>
        <w:ind w:left="850" w:right="128" w:hanging="0"/>
        <w:rPr/>
      </w:pPr>
      <w:r>
        <w:rPr/>
        <w:t xml:space="preserve">Požární technika a věcné prostředky požární ochrany společné jednotky požární ochrany: JPO SDH </w:t>
      </w:r>
    </w:p>
    <w:p>
      <w:pPr>
        <w:pStyle w:val="LO-normal"/>
        <w:widowControl w:val="false"/>
        <w:spacing w:lineRule="auto" w:line="240" w:before="248" w:after="0"/>
        <w:ind w:left="850" w:right="128" w:hanging="0"/>
        <w:rPr/>
      </w:pPr>
      <w:r>
        <w:rPr/>
        <w:t>Lysá nad Labem</w:t>
      </w:r>
    </w:p>
    <w:p>
      <w:pPr>
        <w:pStyle w:val="LO-normal"/>
        <w:widowControl w:val="false"/>
        <w:spacing w:lineRule="auto" w:line="240" w:before="143" w:after="0"/>
        <w:ind w:left="868" w:hanging="0"/>
        <w:rPr/>
      </w:pPr>
      <w:r>
        <w:rPr/>
        <w:t xml:space="preserve">Město Lysá nad Labem zřídilo JPO SDH s dislokací: </w:t>
      </w:r>
    </w:p>
    <w:p>
      <w:pPr>
        <w:pStyle w:val="LO-normal"/>
        <w:widowControl w:val="false"/>
        <w:spacing w:lineRule="auto" w:line="240" w:before="143" w:after="0"/>
        <w:ind w:left="868" w:hanging="0"/>
        <w:rPr/>
      </w:pPr>
      <w:r>
        <w:rPr/>
      </w:r>
    </w:p>
    <w:p>
      <w:pPr>
        <w:pStyle w:val="LO-normal"/>
        <w:widowControl w:val="false"/>
        <w:spacing w:lineRule="auto" w:line="240" w:before="11" w:after="0"/>
        <w:ind w:left="863" w:hanging="0"/>
        <w:rPr>
          <w:u w:val="single"/>
        </w:rPr>
      </w:pPr>
      <w:r>
        <w:rPr>
          <w:rFonts w:eastAsia="Noto Sans Symbols" w:cs="Noto Sans Symbols" w:ascii="Noto Sans Symbols" w:hAnsi="Noto Sans Symbols"/>
          <w:u w:val="single"/>
        </w:rPr>
        <w:t xml:space="preserve">∙ </w:t>
      </w:r>
      <w:r>
        <w:rPr>
          <w:u w:val="single"/>
        </w:rPr>
        <w:t xml:space="preserve">požární zbrojnice Pivovarská 1518, Lysá nad Labem </w:t>
      </w:r>
    </w:p>
    <w:p>
      <w:pPr>
        <w:pStyle w:val="LO-normal"/>
        <w:widowControl w:val="false"/>
        <w:spacing w:lineRule="auto" w:line="240"/>
        <w:ind w:left="851" w:hanging="0"/>
        <w:rPr/>
      </w:pPr>
      <w:r>
        <w:rPr/>
        <w:t xml:space="preserve"> </w:t>
      </w:r>
      <w:r>
        <w:rPr/>
        <w:t xml:space="preserve">kategorie JPO II/1, 28 členů, počet členů v pohotovosti 4  </w:t>
      </w:r>
    </w:p>
    <w:p>
      <w:pPr>
        <w:pStyle w:val="LO-normal"/>
        <w:widowControl w:val="false"/>
        <w:spacing w:lineRule="auto" w:line="240" w:before="131" w:after="0"/>
        <w:ind w:left="863" w:hanging="0"/>
        <w:rPr/>
      </w:pPr>
      <w:r>
        <w:rPr>
          <w:rFonts w:eastAsia="Noto Sans Symbols" w:cs="Noto Sans Symbols" w:ascii="Noto Sans Symbols" w:hAnsi="Noto Sans Symbols"/>
        </w:rPr>
        <w:t>∙</w:t>
      </w:r>
      <w:r>
        <w:rPr>
          <w:rFonts w:eastAsia="Noto Sans Symbols" w:cs="Noto Sans Symbols" w:ascii="Noto Sans Symbols" w:hAnsi="Noto Sans Symbols"/>
          <w:u w:val="single"/>
        </w:rPr>
        <w:t xml:space="preserve"> </w:t>
      </w:r>
      <w:r>
        <w:rPr>
          <w:u w:val="single"/>
        </w:rPr>
        <w:t>požární zbrojnice Byšičky</w:t>
      </w:r>
      <w:r>
        <w:rPr/>
        <w:t xml:space="preserve">  </w:t>
      </w:r>
    </w:p>
    <w:p>
      <w:pPr>
        <w:pStyle w:val="LO-normal"/>
        <w:widowControl w:val="false"/>
        <w:spacing w:lineRule="auto" w:line="240"/>
        <w:ind w:left="851" w:hanging="0"/>
        <w:rPr/>
      </w:pPr>
      <w:r>
        <w:rPr/>
        <w:t xml:space="preserve"> </w:t>
      </w:r>
      <w:r>
        <w:rPr/>
        <w:t xml:space="preserve">kategorie JPO V, 9 členů, počet členů v pohotovosti 4 </w:t>
      </w:r>
    </w:p>
    <w:p>
      <w:pPr>
        <w:pStyle w:val="Normal"/>
        <w:widowControl w:val="false"/>
        <w:spacing w:lineRule="auto" w:line="240"/>
        <w:ind w:left="851" w:hanging="0"/>
        <w:rPr/>
      </w:pPr>
      <w:r>
        <w:rPr/>
      </w:r>
    </w:p>
    <w:p>
      <w:pPr>
        <w:pStyle w:val="LO-normal"/>
        <w:widowControl w:val="false"/>
        <w:spacing w:lineRule="auto" w:line="240"/>
        <w:ind w:left="851" w:hanging="0"/>
        <w:rPr/>
      </w:pPr>
      <w:r>
        <w:rPr/>
      </w:r>
    </w:p>
    <w:p>
      <w:pPr>
        <w:pStyle w:val="LO-normal"/>
        <w:widowControl w:val="false"/>
        <w:spacing w:lineRule="auto" w:line="240"/>
        <w:ind w:firstLine="720"/>
        <w:rPr>
          <w:b/>
          <w:sz w:val="26"/>
          <w:szCs w:val="26"/>
        </w:rPr>
      </w:pPr>
      <w:r>
        <w:rPr>
          <w:b/>
          <w:sz w:val="26"/>
          <w:szCs w:val="26"/>
        </w:rPr>
      </w:r>
    </w:p>
    <w:p>
      <w:pPr>
        <w:pStyle w:val="LO-normal"/>
        <w:widowControl w:val="false"/>
        <w:spacing w:lineRule="auto" w:line="240"/>
        <w:rPr>
          <w:b/>
          <w:color w:val="000000"/>
          <w:sz w:val="28"/>
          <w:szCs w:val="28"/>
        </w:rPr>
      </w:pPr>
      <w:r>
        <w:rPr>
          <w:b/>
          <w:color w:val="000000"/>
          <w:sz w:val="28"/>
          <w:szCs w:val="28"/>
        </w:rPr>
        <w:tab/>
      </w:r>
    </w:p>
    <w:p>
      <w:pPr>
        <w:pStyle w:val="LO-normal"/>
        <w:widowControl w:val="false"/>
        <w:spacing w:lineRule="auto" w:line="240"/>
        <w:rPr>
          <w:b/>
          <w:color w:val="000000"/>
          <w:sz w:val="28"/>
          <w:szCs w:val="28"/>
        </w:rPr>
      </w:pPr>
      <w:r>
        <w:rPr>
          <w:b/>
          <w:color w:val="000000"/>
          <w:sz w:val="28"/>
          <w:szCs w:val="28"/>
        </w:rPr>
      </w:r>
    </w:p>
    <w:p>
      <w:pPr>
        <w:pStyle w:val="LO-normal"/>
        <w:widowControl w:val="false"/>
        <w:spacing w:lineRule="auto" w:line="240"/>
        <w:rPr>
          <w:b/>
          <w:color w:val="000000"/>
          <w:sz w:val="28"/>
          <w:szCs w:val="28"/>
        </w:rPr>
      </w:pPr>
      <w:r>
        <w:rPr>
          <w:b/>
          <w:color w:val="000000"/>
          <w:sz w:val="28"/>
          <w:szCs w:val="28"/>
        </w:rPr>
      </w:r>
    </w:p>
    <w:p>
      <w:pPr>
        <w:pStyle w:val="LO-normal"/>
        <w:widowControl w:val="false"/>
        <w:spacing w:lineRule="auto" w:line="240"/>
        <w:rPr>
          <w:b/>
          <w:color w:val="000000"/>
          <w:sz w:val="28"/>
          <w:szCs w:val="28"/>
        </w:rPr>
      </w:pPr>
      <w:r>
        <w:rPr>
          <w:b/>
          <w:color w:val="000000"/>
          <w:sz w:val="28"/>
          <w:szCs w:val="28"/>
        </w:rPr>
      </w:r>
    </w:p>
    <w:p>
      <w:pPr>
        <w:pStyle w:val="LO-normal"/>
        <w:widowControl w:val="false"/>
        <w:spacing w:lineRule="auto" w:line="240"/>
        <w:rPr>
          <w:b/>
          <w:color w:val="000000"/>
          <w:sz w:val="28"/>
          <w:szCs w:val="28"/>
        </w:rPr>
      </w:pPr>
      <w:r>
        <w:rPr>
          <w:b/>
          <w:color w:val="000000"/>
          <w:sz w:val="28"/>
          <w:szCs w:val="28"/>
        </w:rPr>
      </w:r>
    </w:p>
    <w:p>
      <w:pPr>
        <w:pStyle w:val="LO-normal"/>
        <w:widowControl w:val="false"/>
        <w:spacing w:lineRule="auto" w:line="240"/>
        <w:rPr>
          <w:b/>
          <w:color w:val="000000"/>
          <w:sz w:val="28"/>
          <w:szCs w:val="28"/>
        </w:rPr>
      </w:pPr>
      <w:r>
        <w:rPr>
          <w:b/>
          <w:color w:val="000000"/>
          <w:sz w:val="28"/>
          <w:szCs w:val="28"/>
        </w:rPr>
      </w:r>
    </w:p>
    <w:p>
      <w:pPr>
        <w:pStyle w:val="LO-normal"/>
        <w:widowControl w:val="false"/>
        <w:spacing w:lineRule="auto" w:line="240"/>
        <w:rPr>
          <w:b/>
          <w:color w:val="000000"/>
          <w:sz w:val="28"/>
          <w:szCs w:val="28"/>
        </w:rPr>
      </w:pPr>
      <w:r>
        <w:rPr>
          <w:b/>
          <w:color w:val="000000"/>
          <w:sz w:val="28"/>
          <w:szCs w:val="28"/>
        </w:rPr>
        <w:tab/>
        <w:tab/>
        <w:t xml:space="preserve">Příloha č. 3 k obecně závazné vyhlášky, kterou se vydává </w:t>
        <w:tab/>
        <w:tab/>
        <w:tab/>
        <w:tab/>
        <w:t xml:space="preserve">požární řád </w:t>
      </w:r>
    </w:p>
    <w:p>
      <w:pPr>
        <w:pStyle w:val="LO-normal"/>
        <w:widowControl w:val="false"/>
        <w:spacing w:lineRule="auto" w:line="228" w:before="117" w:after="0"/>
        <w:ind w:left="1587" w:right="2" w:hanging="371"/>
        <w:rPr>
          <w:color w:val="000000"/>
        </w:rPr>
      </w:pPr>
      <w:r>
        <w:rPr>
          <w:color w:val="000000"/>
        </w:rPr>
        <w:t xml:space="preserve">A) Přehled zdrojů vody </w:t>
      </w:r>
    </w:p>
    <w:p>
      <w:pPr>
        <w:pStyle w:val="LO-normal"/>
        <w:widowControl w:val="false"/>
        <w:spacing w:lineRule="auto" w:line="228" w:before="117" w:after="0"/>
        <w:ind w:left="2307" w:right="2" w:hanging="371"/>
        <w:rPr/>
      </w:pPr>
      <w:r>
        <w:rPr/>
        <w:t>a) PŘIROZENÉ</w:t>
      </w:r>
    </w:p>
    <w:p>
      <w:pPr>
        <w:pStyle w:val="LO-normal"/>
        <w:widowControl w:val="false"/>
        <w:spacing w:lineRule="auto" w:line="228" w:before="117" w:after="0"/>
        <w:ind w:left="1587" w:right="2" w:hanging="371"/>
        <w:rPr/>
      </w:pPr>
      <w:r>
        <w:rPr/>
      </w:r>
    </w:p>
    <w:tbl>
      <w:tblPr>
        <w:tblStyle w:val="TableNormal"/>
        <w:tblW w:w="10370" w:type="dxa"/>
        <w:jc w:val="left"/>
        <w:tblInd w:w="739" w:type="dxa"/>
        <w:tblLayout w:type="fixed"/>
        <w:tblCellMar>
          <w:top w:w="100" w:type="dxa"/>
          <w:left w:w="100" w:type="dxa"/>
          <w:bottom w:w="100" w:type="dxa"/>
          <w:right w:w="100" w:type="dxa"/>
        </w:tblCellMar>
        <w:tblLook w:firstRow="0" w:noVBand="1" w:lastRow="0" w:firstColumn="0" w:lastColumn="0" w:noHBand="1" w:val="0600"/>
      </w:tblPr>
      <w:tblGrid>
        <w:gridCol w:w="775"/>
        <w:gridCol w:w="1593"/>
        <w:gridCol w:w="2631"/>
        <w:gridCol w:w="2349"/>
        <w:gridCol w:w="3022"/>
      </w:tblGrid>
      <w:tr>
        <w:trPr>
          <w:trHeight w:val="515" w:hRule="atLeast"/>
        </w:trPr>
        <w:tc>
          <w:tcPr>
            <w:tcW w:w="775"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753" w:hanging="0"/>
              <w:jc w:val="right"/>
              <w:rPr>
                <w:b/>
                <w:color w:val="000000"/>
                <w:sz w:val="20"/>
                <w:szCs w:val="20"/>
              </w:rPr>
            </w:pPr>
            <w:r>
              <w:rPr>
                <w:b/>
                <w:color w:val="000000"/>
                <w:sz w:val="20"/>
                <w:szCs w:val="20"/>
              </w:rPr>
            </w:r>
          </w:p>
        </w:tc>
        <w:tc>
          <w:tcPr>
            <w:tcW w:w="1593"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753" w:hanging="0"/>
              <w:jc w:val="right"/>
              <w:rPr>
                <w:b/>
                <w:color w:val="000000"/>
                <w:sz w:val="20"/>
                <w:szCs w:val="20"/>
              </w:rPr>
            </w:pPr>
            <w:r>
              <w:rPr>
                <w:b/>
                <w:color w:val="000000"/>
                <w:sz w:val="20"/>
                <w:szCs w:val="20"/>
              </w:rPr>
            </w:r>
          </w:p>
        </w:tc>
        <w:tc>
          <w:tcPr>
            <w:tcW w:w="263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color w:val="000000"/>
                <w:sz w:val="18"/>
                <w:szCs w:val="18"/>
              </w:rPr>
            </w:pPr>
            <w:r>
              <w:rPr>
                <w:rFonts w:eastAsia="Arial" w:cs="Arial"/>
                <w:b/>
                <w:color w:val="000000"/>
                <w:kern w:val="0"/>
                <w:sz w:val="18"/>
                <w:szCs w:val="18"/>
                <w:lang w:val="cs-CZ" w:eastAsia="zh-CN" w:bidi="hi-IN"/>
              </w:rPr>
              <w:t>druh vodního zdroje</w:t>
            </w:r>
          </w:p>
        </w:tc>
        <w:tc>
          <w:tcPr>
            <w:tcW w:w="5371"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color w:val="000000"/>
                <w:sz w:val="20"/>
                <w:szCs w:val="20"/>
              </w:rPr>
            </w:pPr>
            <w:r>
              <w:rPr>
                <w:rFonts w:eastAsia="Arial" w:cs="Arial"/>
                <w:b/>
                <w:color w:val="000000"/>
                <w:kern w:val="0"/>
                <w:sz w:val="20"/>
                <w:szCs w:val="20"/>
                <w:lang w:val="cs-CZ" w:eastAsia="zh-CN" w:bidi="hi-IN"/>
              </w:rPr>
              <w:t>popis umístění</w:t>
            </w:r>
          </w:p>
        </w:tc>
      </w:tr>
      <w:tr>
        <w:trPr>
          <w:trHeight w:val="515" w:hRule="atLeast"/>
        </w:trPr>
        <w:tc>
          <w:tcPr>
            <w:tcW w:w="775"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1</w:t>
            </w:r>
          </w:p>
        </w:tc>
        <w:tc>
          <w:tcPr>
            <w:tcW w:w="1593"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b/>
                <w:sz w:val="20"/>
                <w:szCs w:val="20"/>
              </w:rPr>
              <w:t>Ostrá</w:t>
            </w:r>
          </w:p>
        </w:tc>
        <w:tc>
          <w:tcPr>
            <w:tcW w:w="263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b/>
                <w:sz w:val="20"/>
                <w:szCs w:val="20"/>
              </w:rPr>
              <w:t>vodní plocha - Jezero Ostrá</w:t>
            </w:r>
          </w:p>
        </w:tc>
        <w:tc>
          <w:tcPr>
            <w:tcW w:w="234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50.1785667N,</w:t>
            </w:r>
          </w:p>
        </w:tc>
        <w:tc>
          <w:tcPr>
            <w:tcW w:w="302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14.8979717E</w:t>
            </w:r>
          </w:p>
        </w:tc>
      </w:tr>
      <w:tr>
        <w:trPr>
          <w:trHeight w:val="515" w:hRule="atLeast"/>
        </w:trPr>
        <w:tc>
          <w:tcPr>
            <w:tcW w:w="775"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2</w:t>
            </w:r>
          </w:p>
        </w:tc>
        <w:tc>
          <w:tcPr>
            <w:tcW w:w="1593"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20"/>
                <w:szCs w:val="20"/>
                <w:lang w:val="cs-CZ" w:eastAsia="zh-CN" w:bidi="hi-IN"/>
              </w:rPr>
              <w:t>Šnepov</w:t>
            </w:r>
          </w:p>
        </w:tc>
        <w:tc>
          <w:tcPr>
            <w:tcW w:w="2631"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kal - Šnepov</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50.1806664N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14.9247164E</w:t>
            </w:r>
          </w:p>
        </w:tc>
      </w:tr>
      <w:tr>
        <w:trPr>
          <w:trHeight w:val="515" w:hRule="atLeast"/>
        </w:trPr>
        <w:tc>
          <w:tcPr>
            <w:tcW w:w="775"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3</w:t>
            </w:r>
          </w:p>
        </w:tc>
        <w:tc>
          <w:tcPr>
            <w:tcW w:w="1593"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20"/>
                <w:szCs w:val="20"/>
                <w:lang w:val="cs-CZ" w:eastAsia="zh-CN" w:bidi="hi-IN"/>
              </w:rPr>
              <w:t>Ostrá</w:t>
            </w:r>
          </w:p>
        </w:tc>
        <w:tc>
          <w:tcPr>
            <w:tcW w:w="2631"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vodní plocha- tůň Doubka</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50.1731358N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14.8706089E</w:t>
            </w:r>
          </w:p>
        </w:tc>
      </w:tr>
      <w:tr>
        <w:trPr>
          <w:trHeight w:val="515" w:hRule="atLeast"/>
        </w:trPr>
        <w:tc>
          <w:tcPr>
            <w:tcW w:w="775"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4</w:t>
            </w:r>
          </w:p>
        </w:tc>
        <w:tc>
          <w:tcPr>
            <w:tcW w:w="1593"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b/>
                <w:sz w:val="20"/>
                <w:szCs w:val="20"/>
              </w:rPr>
              <w:t>Šnepov</w:t>
            </w:r>
          </w:p>
        </w:tc>
        <w:tc>
          <w:tcPr>
            <w:tcW w:w="2631"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b/>
                <w:sz w:val="20"/>
                <w:szCs w:val="20"/>
              </w:rPr>
              <w:t>tůň Králíček (Farský potok)</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50.1784128N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14,9227939E</w:t>
            </w:r>
          </w:p>
        </w:tc>
      </w:tr>
    </w:tbl>
    <w:p>
      <w:pPr>
        <w:pStyle w:val="LO-normal"/>
        <w:widowControl w:val="false"/>
        <w:rPr>
          <w:color w:val="000000"/>
          <w:sz w:val="20"/>
          <w:szCs w:val="20"/>
        </w:rPr>
      </w:pPr>
      <w:r>
        <w:rPr>
          <w:color w:val="000000"/>
          <w:sz w:val="20"/>
          <w:szCs w:val="20"/>
        </w:rPr>
      </w:r>
    </w:p>
    <w:p>
      <w:pPr>
        <w:pStyle w:val="LO-normal"/>
        <w:widowControl w:val="false"/>
        <w:ind w:left="1440" w:firstLine="720"/>
        <w:rPr/>
      </w:pPr>
      <w:r>
        <w:rPr/>
      </w:r>
    </w:p>
    <w:p>
      <w:pPr>
        <w:pStyle w:val="LO-normal"/>
        <w:widowControl w:val="false"/>
        <w:ind w:left="1440" w:firstLine="720"/>
        <w:rPr/>
      </w:pPr>
      <w:r>
        <w:rPr/>
        <w:t>b) UMĚLÉ</w:t>
      </w:r>
    </w:p>
    <w:p>
      <w:pPr>
        <w:pStyle w:val="LO-normal"/>
        <w:widowControl w:val="false"/>
        <w:ind w:left="1440" w:firstLine="720"/>
        <w:rPr/>
      </w:pPr>
      <w:r>
        <w:rPr/>
      </w:r>
    </w:p>
    <w:tbl>
      <w:tblPr>
        <w:tblStyle w:val="TableNormal"/>
        <w:tblW w:w="10490" w:type="dxa"/>
        <w:jc w:val="left"/>
        <w:tblInd w:w="739" w:type="dxa"/>
        <w:tblLayout w:type="fixed"/>
        <w:tblCellMar>
          <w:top w:w="100" w:type="dxa"/>
          <w:left w:w="100" w:type="dxa"/>
          <w:bottom w:w="100" w:type="dxa"/>
          <w:right w:w="100" w:type="dxa"/>
        </w:tblCellMar>
        <w:tblLook w:firstRow="0" w:noVBand="1" w:lastRow="0" w:firstColumn="0" w:lastColumn="0" w:noHBand="1" w:val="0600"/>
      </w:tblPr>
      <w:tblGrid>
        <w:gridCol w:w="889"/>
        <w:gridCol w:w="1480"/>
        <w:gridCol w:w="2730"/>
        <w:gridCol w:w="1578"/>
        <w:gridCol w:w="1507"/>
        <w:gridCol w:w="2305"/>
      </w:tblGrid>
      <w:tr>
        <w:trPr>
          <w:trHeight w:val="390"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8"/>
                <w:szCs w:val="18"/>
              </w:rPr>
            </w:pPr>
            <w:r>
              <w:rPr>
                <w:b/>
                <w:sz w:val="18"/>
                <w:szCs w:val="18"/>
              </w:rPr>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right"/>
              <w:rPr>
                <w:b/>
                <w:sz w:val="18"/>
                <w:szCs w:val="18"/>
              </w:rPr>
            </w:pPr>
            <w:r>
              <w:rPr>
                <w:b/>
                <w:sz w:val="18"/>
                <w:szCs w:val="18"/>
              </w:rPr>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18"/>
                <w:szCs w:val="18"/>
              </w:rPr>
            </w:pPr>
            <w:r>
              <w:rPr>
                <w:rFonts w:eastAsia="Arial" w:cs="Arial"/>
                <w:b/>
                <w:kern w:val="0"/>
                <w:sz w:val="18"/>
                <w:szCs w:val="18"/>
                <w:lang w:val="cs-CZ" w:eastAsia="zh-CN" w:bidi="hi-IN"/>
              </w:rPr>
              <w:t>druh vodního zdroje</w:t>
            </w:r>
          </w:p>
        </w:tc>
        <w:tc>
          <w:tcPr>
            <w:tcW w:w="3085"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sz w:val="18"/>
                <w:szCs w:val="18"/>
              </w:rPr>
            </w:pPr>
            <w:r>
              <w:rPr>
                <w:rFonts w:eastAsia="Arial" w:cs="Arial"/>
                <w:b/>
                <w:kern w:val="0"/>
                <w:sz w:val="18"/>
                <w:szCs w:val="18"/>
                <w:lang w:val="cs-CZ" w:eastAsia="zh-CN" w:bidi="hi-IN"/>
              </w:rPr>
              <w:t>popis umístění</w:t>
            </w:r>
          </w:p>
        </w:tc>
        <w:tc>
          <w:tcPr>
            <w:tcW w:w="2305"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rPr>
            </w:pPr>
            <w:r>
              <w:rPr>
                <w:b/>
              </w:rPr>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1</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u autobusové zastávky - u křížku</w:t>
            </w:r>
          </w:p>
        </w:tc>
        <w:tc>
          <w:tcPr>
            <w:tcW w:w="1578"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50.1828347N</w:t>
            </w:r>
          </w:p>
        </w:tc>
        <w:tc>
          <w:tcPr>
            <w:tcW w:w="1507"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14.8865944E</w:t>
            </w:r>
          </w:p>
        </w:tc>
        <w:tc>
          <w:tcPr>
            <w:tcW w:w="2305"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krammer DN 80</w:t>
            </w:r>
          </w:p>
        </w:tc>
      </w:tr>
      <w:tr>
        <w:trPr>
          <w:trHeight w:val="515" w:hRule="atLeast"/>
        </w:trPr>
        <w:tc>
          <w:tcPr>
            <w:tcW w:w="889"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2</w:t>
            </w:r>
          </w:p>
        </w:tc>
        <w:tc>
          <w:tcPr>
            <w:tcW w:w="148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3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18"/>
                <w:szCs w:val="18"/>
              </w:rPr>
            </w:pPr>
            <w:r>
              <w:rPr>
                <w:rFonts w:eastAsia="Arial" w:cs="Arial"/>
                <w:b/>
                <w:kern w:val="0"/>
                <w:sz w:val="18"/>
                <w:szCs w:val="18"/>
                <w:lang w:val="cs-CZ" w:eastAsia="zh-CN" w:bidi="hi-IN"/>
              </w:rPr>
              <w:t>zelený pás proti kapličce</w:t>
            </w:r>
          </w:p>
        </w:tc>
        <w:tc>
          <w:tcPr>
            <w:tcW w:w="1578"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18"/>
                <w:szCs w:val="18"/>
              </w:rPr>
            </w:pPr>
            <w:r>
              <w:rPr>
                <w:rFonts w:eastAsia="Arial" w:cs="Arial"/>
                <w:kern w:val="0"/>
                <w:sz w:val="18"/>
                <w:szCs w:val="18"/>
                <w:lang w:val="cs-CZ" w:eastAsia="zh-CN" w:bidi="hi-IN"/>
              </w:rPr>
              <w:t>50.1807194N</w:t>
            </w:r>
          </w:p>
        </w:tc>
        <w:tc>
          <w:tcPr>
            <w:tcW w:w="1507"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18"/>
                <w:szCs w:val="18"/>
              </w:rPr>
            </w:pPr>
            <w:r>
              <w:rPr>
                <w:rFonts w:eastAsia="Arial" w:cs="Arial"/>
                <w:kern w:val="0"/>
                <w:sz w:val="18"/>
                <w:szCs w:val="18"/>
                <w:lang w:val="cs-CZ" w:eastAsia="zh-CN" w:bidi="hi-IN"/>
              </w:rPr>
              <w:t>14.8927461E</w:t>
            </w:r>
          </w:p>
        </w:tc>
        <w:tc>
          <w:tcPr>
            <w:tcW w:w="2305"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18"/>
                <w:szCs w:val="18"/>
              </w:rPr>
            </w:pPr>
            <w:r>
              <w:rPr>
                <w:rFonts w:eastAsia="Arial" w:cs="Arial"/>
                <w:kern w:val="0"/>
                <w:sz w:val="18"/>
                <w:szCs w:val="18"/>
                <w:lang w:val="cs-CZ" w:eastAsia="zh-CN" w:bidi="hi-IN"/>
              </w:rPr>
              <w:t>podzemní AVK DN 80</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3</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betonový prostor před školou</w:t>
            </w:r>
          </w:p>
        </w:tc>
        <w:tc>
          <w:tcPr>
            <w:tcW w:w="1578"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50.1837356N</w:t>
            </w:r>
          </w:p>
        </w:tc>
        <w:tc>
          <w:tcPr>
            <w:tcW w:w="1507"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14.8927489E</w:t>
            </w:r>
          </w:p>
        </w:tc>
        <w:tc>
          <w:tcPr>
            <w:tcW w:w="2305"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AVK DN 80</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4</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zadní vjezd - Botanicus</w:t>
            </w:r>
          </w:p>
        </w:tc>
        <w:tc>
          <w:tcPr>
            <w:tcW w:w="1578"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50.1792456N</w:t>
            </w:r>
          </w:p>
        </w:tc>
        <w:tc>
          <w:tcPr>
            <w:tcW w:w="1507"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14.8950350E</w:t>
            </w:r>
          </w:p>
        </w:tc>
        <w:tc>
          <w:tcPr>
            <w:tcW w:w="2305"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Krammer DN 80</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1</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Šnepov</w:t>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pole u vodoměrné šachty</w:t>
            </w:r>
          </w:p>
        </w:tc>
        <w:tc>
          <w:tcPr>
            <w:tcW w:w="1578"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50.1833248N</w:t>
            </w:r>
          </w:p>
        </w:tc>
        <w:tc>
          <w:tcPr>
            <w:tcW w:w="1507"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14.9248896</w:t>
            </w:r>
          </w:p>
        </w:tc>
        <w:tc>
          <w:tcPr>
            <w:tcW w:w="2305"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Havle DN 80 DUO</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2</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Šnepov</w:t>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U Kapličky, RD č.p. 10</w:t>
            </w:r>
          </w:p>
        </w:tc>
        <w:tc>
          <w:tcPr>
            <w:tcW w:w="1578"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50.1813794</w:t>
            </w:r>
          </w:p>
        </w:tc>
        <w:tc>
          <w:tcPr>
            <w:tcW w:w="1507"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14.9241375</w:t>
            </w:r>
          </w:p>
        </w:tc>
        <w:tc>
          <w:tcPr>
            <w:tcW w:w="2305"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Havle DN 80 DUO</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3</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Šnepov</w:t>
            </w:r>
          </w:p>
        </w:tc>
        <w:tc>
          <w:tcPr>
            <w:tcW w:w="27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křižovatka u č.p, 42 směr Ostrá</w:t>
            </w:r>
          </w:p>
        </w:tc>
        <w:tc>
          <w:tcPr>
            <w:tcW w:w="1578"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50.1815082</w:t>
            </w:r>
          </w:p>
        </w:tc>
        <w:tc>
          <w:tcPr>
            <w:tcW w:w="1507"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14.9213618</w:t>
            </w:r>
          </w:p>
        </w:tc>
        <w:tc>
          <w:tcPr>
            <w:tcW w:w="2305"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Havle DN 80 DUO</w:t>
            </w:r>
          </w:p>
        </w:tc>
      </w:tr>
    </w:tbl>
    <w:p>
      <w:pPr>
        <w:pStyle w:val="LO-normal"/>
        <w:widowControl w:val="false"/>
        <w:rPr/>
      </w:pPr>
      <w:r>
        <w:rPr/>
        <w:tab/>
        <w:tab/>
      </w:r>
    </w:p>
    <w:p>
      <w:pPr>
        <w:pStyle w:val="LO-normal"/>
        <w:widowControl w:val="false"/>
        <w:rPr/>
      </w:pPr>
      <w:r>
        <w:rPr/>
        <w:tab/>
        <w:tab/>
      </w:r>
    </w:p>
    <w:p>
      <w:pPr>
        <w:pStyle w:val="LO-normal"/>
        <w:widowControl w:val="false"/>
        <w:rPr/>
      </w:pPr>
      <w:r>
        <w:rPr/>
      </w:r>
    </w:p>
    <w:p>
      <w:pPr>
        <w:pStyle w:val="LO-normal"/>
        <w:widowControl w:val="false"/>
        <w:rPr/>
      </w:pPr>
      <w:r>
        <w:rPr/>
      </w:r>
    </w:p>
    <w:p>
      <w:pPr>
        <w:pStyle w:val="LO-normal"/>
        <w:widowControl w:val="false"/>
        <w:rPr/>
      </w:pPr>
      <w:r>
        <w:rPr/>
      </w:r>
    </w:p>
    <w:p>
      <w:pPr>
        <w:pStyle w:val="LO-normal"/>
        <w:widowControl w:val="false"/>
        <w:rPr/>
      </w:pPr>
      <w:r>
        <w:rPr/>
      </w:r>
    </w:p>
    <w:p>
      <w:pPr>
        <w:pStyle w:val="LO-normal"/>
        <w:widowControl w:val="false"/>
        <w:rPr/>
      </w:pPr>
      <w:r>
        <w:rPr/>
      </w:r>
    </w:p>
    <w:p>
      <w:pPr>
        <w:pStyle w:val="LO-normal"/>
        <w:widowControl w:val="false"/>
        <w:rPr/>
      </w:pPr>
      <w:r>
        <w:rPr/>
      </w:r>
    </w:p>
    <w:p>
      <w:pPr>
        <w:pStyle w:val="LO-normal"/>
        <w:widowControl w:val="false"/>
        <w:rPr/>
      </w:pPr>
      <w:r>
        <w:rPr/>
      </w:r>
    </w:p>
    <w:p>
      <w:pPr>
        <w:pStyle w:val="LO-normal"/>
        <w:widowControl w:val="false"/>
        <w:rPr/>
      </w:pPr>
      <w:r>
        <w:rPr/>
        <w:t>B)   zobrazení na mapě</w:t>
      </w:r>
    </w:p>
    <w:p>
      <w:pPr>
        <w:pStyle w:val="LO-normal"/>
        <w:widowControl w:val="false"/>
        <w:rPr>
          <w:b/>
          <w:bCs/>
        </w:rPr>
      </w:pPr>
      <w:r>
        <w:rPr>
          <w:b/>
          <w:bCs/>
        </w:rPr>
      </w:r>
    </w:p>
    <w:p>
      <w:pPr>
        <w:pStyle w:val="LO-normal"/>
        <w:widowControl w:val="false"/>
        <w:rPr>
          <w:b/>
          <w:bCs/>
        </w:rPr>
      </w:pPr>
      <w:r>
        <w:rPr>
          <w:b/>
          <w:bCs/>
        </w:rPr>
        <w:t xml:space="preserve">    </w:t>
      </w:r>
      <w:r>
        <w:rPr>
          <w:b/>
          <w:bCs/>
        </w:rPr>
        <w:tab/>
        <w:tab/>
        <w:tab/>
        <w:t>a) přírodní, Ostrá, Šnepov</w:t>
      </w:r>
    </w:p>
    <w:p>
      <w:pPr>
        <w:pStyle w:val="LO-normal"/>
        <w:widowControl w:val="false"/>
        <w:rPr/>
      </w:pPr>
      <w:r>
        <w:rPr/>
        <w:drawing>
          <wp:anchor behindDoc="0" distT="0" distB="0" distL="0" distR="0" simplePos="0" locked="0" layoutInCell="0" allowOverlap="1" relativeHeight="2">
            <wp:simplePos x="0" y="0"/>
            <wp:positionH relativeFrom="column">
              <wp:posOffset>1040765</wp:posOffset>
            </wp:positionH>
            <wp:positionV relativeFrom="paragraph">
              <wp:posOffset>107950</wp:posOffset>
            </wp:positionV>
            <wp:extent cx="3917315" cy="1846580"/>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3"/>
                    <a:stretch>
                      <a:fillRect/>
                    </a:stretch>
                  </pic:blipFill>
                  <pic:spPr bwMode="auto">
                    <a:xfrm>
                      <a:off x="0" y="0"/>
                      <a:ext cx="3917315" cy="1846580"/>
                    </a:xfrm>
                    <a:prstGeom prst="rect">
                      <a:avLst/>
                    </a:prstGeom>
                  </pic:spPr>
                </pic:pic>
              </a:graphicData>
            </a:graphic>
          </wp:anchor>
        </w:drawing>
      </w:r>
    </w:p>
    <w:p>
      <w:pPr>
        <w:pStyle w:val="LO-normal"/>
        <w:widowControl w:val="false"/>
        <w:rPr/>
      </w:pPr>
      <w:r>
        <w:rPr/>
      </w:r>
    </w:p>
    <w:p>
      <w:pPr>
        <w:pStyle w:val="LO-normal"/>
        <w:widowControl w:val="false"/>
        <w:rPr/>
      </w:pPr>
      <w:r>
        <w:rPr/>
      </w:r>
    </w:p>
    <w:p>
      <w:pPr>
        <w:pStyle w:val="LO-normal"/>
        <w:widowControl w:val="false"/>
        <w:rPr/>
      </w:pPr>
      <w:r>
        <w:rPr/>
        <w:tab/>
      </w:r>
      <w:r>
        <w:rPr>
          <w:b/>
          <w:bCs/>
        </w:rPr>
        <w:tab/>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pPr>
      <w:r>
        <w:rPr>
          <w:b/>
          <w:bCs/>
        </w:rPr>
        <w:tab/>
        <w:tab/>
        <w:tab/>
        <w:t>b) umělé, Ostrá (1- 4)</w:t>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drawing>
          <wp:anchor behindDoc="0" distT="0" distB="0" distL="0" distR="0" simplePos="0" locked="0" layoutInCell="0" allowOverlap="1" relativeHeight="3">
            <wp:simplePos x="0" y="0"/>
            <wp:positionH relativeFrom="column">
              <wp:posOffset>200660</wp:posOffset>
            </wp:positionH>
            <wp:positionV relativeFrom="paragraph">
              <wp:posOffset>31115</wp:posOffset>
            </wp:positionV>
            <wp:extent cx="3957320" cy="2300605"/>
            <wp:effectExtent l="0" t="0" r="0" b="0"/>
            <wp:wrapSquare wrapText="largest"/>
            <wp:docPr id="2"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
                    <pic:cNvPicPr>
                      <a:picLocks noChangeAspect="1" noChangeArrowheads="1"/>
                    </pic:cNvPicPr>
                  </pic:nvPicPr>
                  <pic:blipFill>
                    <a:blip r:embed="rId4"/>
                    <a:stretch>
                      <a:fillRect/>
                    </a:stretch>
                  </pic:blipFill>
                  <pic:spPr bwMode="auto">
                    <a:xfrm>
                      <a:off x="0" y="0"/>
                      <a:ext cx="3957320" cy="2300605"/>
                    </a:xfrm>
                    <a:prstGeom prst="rect">
                      <a:avLst/>
                    </a:prstGeom>
                  </pic:spPr>
                </pic:pic>
              </a:graphicData>
            </a:graphic>
          </wp:anchor>
        </w:drawing>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rPr>
        <w:tab/>
        <w:tab/>
        <w:tab/>
      </w:r>
    </w:p>
    <w:p>
      <w:pPr>
        <w:pStyle w:val="LO-normal"/>
        <w:widowControl w:val="false"/>
        <w:rPr/>
      </w:pPr>
      <w:r>
        <w:drawing>
          <wp:anchor behindDoc="0" distT="0" distB="0" distL="0" distR="0" simplePos="0" locked="0" layoutInCell="0" allowOverlap="1" relativeHeight="4">
            <wp:simplePos x="0" y="0"/>
            <wp:positionH relativeFrom="column">
              <wp:posOffset>582295</wp:posOffset>
            </wp:positionH>
            <wp:positionV relativeFrom="paragraph">
              <wp:posOffset>328930</wp:posOffset>
            </wp:positionV>
            <wp:extent cx="2655570" cy="2595880"/>
            <wp:effectExtent l="0" t="0" r="0" b="0"/>
            <wp:wrapSquare wrapText="largest"/>
            <wp:docPr id="3"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descr=""/>
                    <pic:cNvPicPr>
                      <a:picLocks noChangeAspect="1" noChangeArrowheads="1"/>
                    </pic:cNvPicPr>
                  </pic:nvPicPr>
                  <pic:blipFill>
                    <a:blip r:embed="rId5"/>
                    <a:stretch>
                      <a:fillRect/>
                    </a:stretch>
                  </pic:blipFill>
                  <pic:spPr bwMode="auto">
                    <a:xfrm>
                      <a:off x="0" y="0"/>
                      <a:ext cx="2655570" cy="2595880"/>
                    </a:xfrm>
                    <a:prstGeom prst="rect">
                      <a:avLst/>
                    </a:prstGeom>
                  </pic:spPr>
                </pic:pic>
              </a:graphicData>
            </a:graphic>
          </wp:anchor>
        </w:drawing>
      </w:r>
      <w:r>
        <w:rPr>
          <w:b/>
          <w:bCs/>
          <w:i w:val="false"/>
          <w:caps w:val="false"/>
          <w:smallCaps w:val="false"/>
          <w:color w:val="212529"/>
          <w:spacing w:val="0"/>
          <w:sz w:val="22"/>
          <w:szCs w:val="22"/>
        </w:rPr>
        <w:tab/>
        <w:t>umělé, Šnepov (1-3)</w:t>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i w:val="false"/>
          <w:caps w:val="false"/>
          <w:smallCaps w:val="false"/>
          <w:color w:val="212529"/>
          <w:spacing w:val="0"/>
          <w:sz w:val="19"/>
        </w:rPr>
      </w:pPr>
      <w:r>
        <w:rPr/>
      </w:r>
    </w:p>
    <w:sectPr>
      <w:type w:val="nextPage"/>
      <w:pgSz w:w="11906" w:h="16838"/>
      <w:pgMar w:left="39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 w:name="Noto Sans Symbols">
    <w:charset w:val="ee"/>
    <w:family w:val="roman"/>
    <w:pitch w:val="variable"/>
  </w:font>
  <w:font w:name="Roboto Condensed">
    <w:altName w:val="apple-system"/>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1854" w:hanging="360"/>
      </w:pPr>
      <w:rPr>
        <w:color w:val="auto"/>
      </w:rPr>
    </w:lvl>
    <w:lvl w:ilvl="1">
      <w:start w:val="1"/>
      <w:numFmt w:val="lowerLetter"/>
      <w:lvlText w:val="%2."/>
      <w:lvlJc w:val="left"/>
      <w:pPr>
        <w:tabs>
          <w:tab w:val="num" w:pos="0"/>
        </w:tabs>
        <w:ind w:left="2574" w:hanging="360"/>
      </w:pPr>
      <w:rPr/>
    </w:lvl>
    <w:lvl w:ilvl="2">
      <w:start w:val="1"/>
      <w:numFmt w:val="lowerRoman"/>
      <w:lvlText w:val="%3."/>
      <w:lvlJc w:val="right"/>
      <w:pPr>
        <w:tabs>
          <w:tab w:val="num" w:pos="0"/>
        </w:tabs>
        <w:ind w:left="3294" w:hanging="180"/>
      </w:pPr>
      <w:rPr/>
    </w:lvl>
    <w:lvl w:ilvl="3">
      <w:start w:val="1"/>
      <w:numFmt w:val="decimal"/>
      <w:lvlText w:val="%4."/>
      <w:lvlJc w:val="left"/>
      <w:pPr>
        <w:tabs>
          <w:tab w:val="num" w:pos="0"/>
        </w:tabs>
        <w:ind w:left="4014" w:hanging="360"/>
      </w:pPr>
      <w:rPr/>
    </w:lvl>
    <w:lvl w:ilvl="4">
      <w:start w:val="1"/>
      <w:numFmt w:val="lowerLetter"/>
      <w:lvlText w:val="%5."/>
      <w:lvlJc w:val="left"/>
      <w:pPr>
        <w:tabs>
          <w:tab w:val="num" w:pos="0"/>
        </w:tabs>
        <w:ind w:left="4734" w:hanging="360"/>
      </w:pPr>
      <w:rPr/>
    </w:lvl>
    <w:lvl w:ilvl="5">
      <w:start w:val="1"/>
      <w:numFmt w:val="lowerRoman"/>
      <w:lvlText w:val="%6."/>
      <w:lvlJc w:val="right"/>
      <w:pPr>
        <w:tabs>
          <w:tab w:val="num" w:pos="0"/>
        </w:tabs>
        <w:ind w:left="5454" w:hanging="180"/>
      </w:pPr>
      <w:rPr/>
    </w:lvl>
    <w:lvl w:ilvl="6">
      <w:start w:val="1"/>
      <w:numFmt w:val="decimal"/>
      <w:lvlText w:val="%7."/>
      <w:lvlJc w:val="left"/>
      <w:pPr>
        <w:tabs>
          <w:tab w:val="num" w:pos="0"/>
        </w:tabs>
        <w:ind w:left="6174" w:hanging="360"/>
      </w:pPr>
      <w:rPr/>
    </w:lvl>
    <w:lvl w:ilvl="7">
      <w:start w:val="1"/>
      <w:numFmt w:val="lowerLetter"/>
      <w:lvlText w:val="%8."/>
      <w:lvlJc w:val="left"/>
      <w:pPr>
        <w:tabs>
          <w:tab w:val="num" w:pos="0"/>
        </w:tabs>
        <w:ind w:left="6894" w:hanging="360"/>
      </w:pPr>
      <w:rPr/>
    </w:lvl>
    <w:lvl w:ilvl="8">
      <w:start w:val="1"/>
      <w:numFmt w:val="lowerRoman"/>
      <w:lvlText w:val="%9."/>
      <w:lvlJc w:val="right"/>
      <w:pPr>
        <w:tabs>
          <w:tab w:val="num" w:pos="0"/>
        </w:tabs>
        <w:ind w:left="7614"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lowerLetter"/>
      <w:lvlText w:val="%1)"/>
      <w:lvlJc w:val="left"/>
      <w:pPr>
        <w:tabs>
          <w:tab w:val="num" w:pos="0"/>
        </w:tabs>
        <w:ind w:left="720" w:hanging="360"/>
      </w:pPr>
      <w:rPr>
        <w:rFonts w:ascii="Arial" w:hAnsi="Arial" w:eastAsia="Times New Roman" w:cs="Arial"/>
        <w:color w:val="0070C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lowerLetter"/>
      <w:lvlText w:val="%1)"/>
      <w:lvlJc w:val="left"/>
      <w:pPr>
        <w:tabs>
          <w:tab w:val="num" w:pos="0"/>
        </w:tabs>
        <w:ind w:left="786"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qFormat/>
    <w:pPr>
      <w:keepNext w:val="true"/>
      <w:jc w:val="both"/>
      <w:outlineLvl w:val="1"/>
    </w:pPr>
    <w:rPr>
      <w:szCs w:val="20"/>
      <w:u w:val="single"/>
    </w:rPr>
  </w:style>
  <w:style w:type="paragraph" w:styleId="Nadpis4">
    <w:name w:val="Heading 4"/>
    <w:basedOn w:val="Normal"/>
    <w:next w:val="Normal"/>
    <w:link w:val="Nadpis4Char"/>
    <w:uiPriority w:val="9"/>
    <w:unhideWhenUsed/>
    <w:qFormat/>
    <w:rsid w:val="00f64363"/>
    <w:pPr>
      <w:keepNext w:val="true"/>
      <w:spacing w:before="240" w:after="60"/>
      <w:outlineLvl w:val="3"/>
    </w:pPr>
    <w:rPr>
      <w:rFonts w:ascii="Calibri" w:hAnsi="Calibri"/>
      <w:b/>
      <w:bCs/>
      <w:sz w:val="28"/>
      <w:szCs w:val="28"/>
    </w:rPr>
  </w:style>
  <w:style w:type="paragraph" w:styleId="Nadpis5">
    <w:name w:val="Heading 5"/>
    <w:basedOn w:val="Normal"/>
    <w:next w:val="Normal"/>
    <w:link w:val="Nadpis5Char"/>
    <w:uiPriority w:val="9"/>
    <w:semiHidden/>
    <w:unhideWhenUsed/>
    <w:qFormat/>
    <w:rsid w:val="00f64363"/>
    <w:pPr>
      <w:spacing w:before="240" w:after="60"/>
      <w:outlineLvl w:val="4"/>
    </w:pPr>
    <w:rPr>
      <w:rFonts w:ascii="Calibri" w:hAnsi="Calibri"/>
      <w:b/>
      <w:bCs/>
      <w:i/>
      <w:iCs/>
      <w:sz w:val="26"/>
      <w:szCs w:val="26"/>
    </w:rPr>
  </w:style>
  <w:style w:type="paragraph" w:styleId="Nadpis7">
    <w:name w:val="Heading 7"/>
    <w:basedOn w:val="Normal"/>
    <w:next w:val="Normal"/>
    <w:link w:val="Nadpis7Char"/>
    <w:uiPriority w:val="9"/>
    <w:semiHidden/>
    <w:unhideWhenUsed/>
    <w:qFormat/>
    <w:rsid w:val="00264860"/>
    <w:pPr>
      <w:spacing w:before="240" w:after="60"/>
      <w:outlineLvl w:val="6"/>
    </w:pPr>
    <w:rPr>
      <w:rFonts w:ascii="Calibri" w:hAnsi="Calibri"/>
    </w:rPr>
  </w:style>
  <w:style w:type="character" w:styleId="DefaultParagraphFont" w:default="1">
    <w:name w:val="Default Paragraph Font"/>
    <w:uiPriority w:val="1"/>
    <w:semiHidden/>
    <w:unhideWhenUsed/>
    <w:qFormat/>
    <w:rPr/>
  </w:style>
  <w:style w:type="character" w:styleId="Znakypropoznmkupodarou">
    <w:name w:val="Znaky pro poznámku pod čarou"/>
    <w:semiHidden/>
    <w:qFormat/>
    <w:rPr>
      <w:vertAlign w:val="superscript"/>
    </w:rPr>
  </w:style>
  <w:style w:type="character" w:styleId="Ukotvenpoznmkypodarou">
    <w:name w:val="Footnote Reference"/>
    <w:rPr>
      <w:vertAlign w:val="superscript"/>
    </w:rPr>
  </w:style>
  <w:style w:type="character" w:styleId="Annotationreference">
    <w:name w:val="annotation reference"/>
    <w:semiHidden/>
    <w:qFormat/>
    <w:rPr>
      <w:sz w:val="16"/>
      <w:szCs w:val="16"/>
    </w:rPr>
  </w:style>
  <w:style w:type="character" w:styleId="Nadpis4Char" w:customStyle="1">
    <w:name w:val="Nadpis 4 Char"/>
    <w:uiPriority w:val="9"/>
    <w:qFormat/>
    <w:rsid w:val="00f64363"/>
    <w:rPr>
      <w:rFonts w:ascii="Calibri" w:hAnsi="Calibri" w:eastAsia="Times New Roman" w:cs="Times New Roman"/>
      <w:b/>
      <w:bCs/>
      <w:sz w:val="28"/>
      <w:szCs w:val="28"/>
    </w:rPr>
  </w:style>
  <w:style w:type="character" w:styleId="Nadpis5Char" w:customStyle="1">
    <w:name w:val="Nadpis 5 Char"/>
    <w:uiPriority w:val="9"/>
    <w:semiHidden/>
    <w:qFormat/>
    <w:rsid w:val="00f64363"/>
    <w:rPr>
      <w:rFonts w:ascii="Calibri" w:hAnsi="Calibri" w:eastAsia="Times New Roman" w:cs="Times New Roman"/>
      <w:b/>
      <w:bCs/>
      <w:i/>
      <w:iCs/>
      <w:sz w:val="26"/>
      <w:szCs w:val="26"/>
    </w:rPr>
  </w:style>
  <w:style w:type="character" w:styleId="TextpoznpodarouChar" w:customStyle="1">
    <w:name w:val="Text pozn. pod čarou Char"/>
    <w:uiPriority w:val="99"/>
    <w:semiHidden/>
    <w:qFormat/>
    <w:rsid w:val="00f64363"/>
    <w:rPr/>
  </w:style>
  <w:style w:type="character" w:styleId="NzevChar" w:customStyle="1">
    <w:name w:val="Název Char"/>
    <w:uiPriority w:val="10"/>
    <w:qFormat/>
    <w:rsid w:val="00f64363"/>
    <w:rPr>
      <w:rFonts w:ascii="Cambria" w:hAnsi="Cambria" w:eastAsia="Times New Roman" w:cs="Times New Roman"/>
      <w:b/>
      <w:bCs/>
      <w:kern w:val="2"/>
      <w:sz w:val="32"/>
      <w:szCs w:val="32"/>
    </w:rPr>
  </w:style>
  <w:style w:type="character" w:styleId="Zkladntext3Char" w:customStyle="1">
    <w:name w:val="Základní text 3 Char"/>
    <w:link w:val="BodyText3"/>
    <w:uiPriority w:val="99"/>
    <w:semiHidden/>
    <w:qFormat/>
    <w:rsid w:val="00eb68de"/>
    <w:rPr>
      <w:sz w:val="16"/>
      <w:szCs w:val="16"/>
    </w:rPr>
  </w:style>
  <w:style w:type="character" w:styleId="Nadpis7Char" w:customStyle="1">
    <w:name w:val="Nadpis 7 Char"/>
    <w:uiPriority w:val="9"/>
    <w:semiHidden/>
    <w:qFormat/>
    <w:rsid w:val="00264860"/>
    <w:rPr>
      <w:rFonts w:ascii="Calibri" w:hAnsi="Calibri" w:eastAsia="Times New Roman" w:cs="Times New Roman"/>
      <w:sz w:val="24"/>
      <w:szCs w:val="24"/>
    </w:rPr>
  </w:style>
  <w:style w:type="character" w:styleId="Internetovodkaz">
    <w:name w:val="Hyperlink"/>
    <w:rPr>
      <w:color w:val="000080"/>
      <w:u w:val="single"/>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link w:val="TextpoznpodarouChar"/>
    <w:uiPriority w:val="99"/>
    <w:semiHidden/>
    <w:pPr/>
    <w:rPr>
      <w:sz w:val="20"/>
      <w:szCs w:val="20"/>
    </w:rPr>
  </w:style>
  <w:style w:type="paragraph" w:styleId="NormlnIMP" w:customStyle="1">
    <w:name w:val="Normální_IMP"/>
    <w:basedOn w:val="Normal"/>
    <w:qFormat/>
    <w:pPr>
      <w:suppressAutoHyphens w:val="true"/>
      <w:overflowPunct w:val="tru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semiHidden/>
    <w:qFormat/>
    <w:rsid w:val="00f64363"/>
    <w:pPr>
      <w:spacing w:beforeAutospacing="1" w:afterAutospacing="1"/>
      <w:ind w:firstLine="500"/>
      <w:jc w:val="both"/>
    </w:pPr>
    <w:rPr>
      <w:color w:val="000000"/>
    </w:rPr>
  </w:style>
  <w:style w:type="paragraph" w:styleId="Nzevzkona" w:customStyle="1">
    <w:name w:val="název zákona"/>
    <w:basedOn w:val="Nzev"/>
    <w:qFormat/>
    <w:rsid w:val="00f64363"/>
    <w:pPr/>
    <w:rPr/>
  </w:style>
  <w:style w:type="paragraph" w:styleId="Nzev">
    <w:name w:val="Title"/>
    <w:basedOn w:val="Normal"/>
    <w:next w:val="Normal"/>
    <w:link w:val="NzevChar"/>
    <w:uiPriority w:val="10"/>
    <w:qFormat/>
    <w:rsid w:val="00f64363"/>
    <w:pPr>
      <w:spacing w:before="240" w:after="60"/>
      <w:jc w:val="center"/>
      <w:outlineLvl w:val="0"/>
    </w:pPr>
    <w:rPr>
      <w:rFonts w:ascii="Cambria" w:hAnsi="Cambria"/>
      <w:b/>
      <w:bCs/>
      <w:kern w:val="2"/>
      <w:sz w:val="32"/>
      <w:szCs w:val="32"/>
    </w:rPr>
  </w:style>
  <w:style w:type="paragraph" w:styleId="Seznamoslovan" w:customStyle="1">
    <w:name w:val="Seznam očíslovaný"/>
    <w:basedOn w:val="Tlotextu"/>
    <w:qFormat/>
    <w:rsid w:val="00f64363"/>
    <w:pPr>
      <w:widowControl w:val="false"/>
      <w:spacing w:before="0" w:after="113"/>
      <w:ind w:left="425" w:hanging="424"/>
      <w:jc w:val="both"/>
    </w:pPr>
    <w:rPr/>
  </w:style>
  <w:style w:type="paragraph" w:styleId="ListParagraph">
    <w:name w:val="List Paragraph"/>
    <w:basedOn w:val="Normal"/>
    <w:uiPriority w:val="34"/>
    <w:qFormat/>
    <w:rsid w:val="00f64363"/>
    <w:pPr>
      <w:spacing w:lineRule="auto" w:line="276" w:before="0" w:after="200"/>
      <w:ind w:left="720" w:hanging="0"/>
      <w:contextualSpacing/>
    </w:pPr>
    <w:rPr>
      <w:rFonts w:ascii="Calibri" w:hAnsi="Calibri" w:eastAsia="Calibri"/>
      <w:sz w:val="22"/>
      <w:szCs w:val="22"/>
      <w:lang w:val="en-GB" w:eastAsia="en-US"/>
    </w:rPr>
  </w:style>
  <w:style w:type="paragraph" w:styleId="BodyText3">
    <w:name w:val="Body Text 3"/>
    <w:basedOn w:val="Normal"/>
    <w:link w:val="Zkladntext3Char"/>
    <w:uiPriority w:val="99"/>
    <w:semiHidden/>
    <w:unhideWhenUsed/>
    <w:qFormat/>
    <w:rsid w:val="00eb68de"/>
    <w:pPr>
      <w:spacing w:before="0" w:after="120"/>
    </w:pPr>
    <w:rPr>
      <w:sz w:val="16"/>
      <w:szCs w:val="16"/>
    </w:rPr>
  </w:style>
  <w:style w:type="paragraph" w:styleId="Hlava" w:customStyle="1">
    <w:name w:val="Hlava"/>
    <w:basedOn w:val="Normal"/>
    <w:qFormat/>
    <w:rsid w:val="00264860"/>
    <w:pPr>
      <w:spacing w:before="240" w:after="0"/>
      <w:jc w:val="center"/>
    </w:pPr>
    <w:rPr/>
  </w:style>
  <w:style w:type="paragraph" w:styleId="LO-normal">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hzscr.cz/clanek/narizeni-kraje-soubory-ke-stazeni.aspx"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5A110-7127-4949-9167-480558434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Application>LibreOffice/7.5.1.2$Windows_X86_64 LibreOffice_project/fcbaee479e84c6cd81291587d2ee68cba099e129</Application>
  <AppVersion>15.0000</AppVersion>
  <Pages>7</Pages>
  <Words>1489</Words>
  <Characters>7959</Characters>
  <CharactersWithSpaces>9557</CharactersWithSpaces>
  <Paragraphs>162</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2026-05-19T09:40:00Z</dcterms:created>
  <dc:creator>DA210036</dc:creator>
  <dc:description/>
  <dc:language>cs-CZ</dc:language>
  <cp:lastModifiedBy/>
  <cp:lastPrinted>2018-02-01T10:14:00Z</cp:lastPrinted>
  <dcterms:modified xsi:type="dcterms:W3CDTF">2026-06-26T10:41:49Z</dcterms:modified>
  <cp:revision>7</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