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20A59" w14:textId="1D3C9A80" w:rsidR="006A579C" w:rsidRPr="0062486B" w:rsidRDefault="00DF210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Fryšták</w:t>
      </w:r>
    </w:p>
    <w:p w14:paraId="4643CA9A" w14:textId="086F91BB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DF210C">
        <w:rPr>
          <w:rFonts w:ascii="Arial" w:hAnsi="Arial" w:cs="Arial"/>
          <w:b/>
          <w:sz w:val="24"/>
          <w:szCs w:val="24"/>
        </w:rPr>
        <w:t>města Fryšták</w:t>
      </w:r>
    </w:p>
    <w:p w14:paraId="31C060B8" w14:textId="5D6674A1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B589F">
        <w:rPr>
          <w:rFonts w:ascii="Arial" w:hAnsi="Arial" w:cs="Arial"/>
          <w:b/>
          <w:sz w:val="24"/>
          <w:szCs w:val="24"/>
        </w:rPr>
        <w:t>města Fryšták</w:t>
      </w:r>
    </w:p>
    <w:p w14:paraId="3C4B4677" w14:textId="77777777" w:rsidR="006A579C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>o stanovení koeficientu pro výpočet daně z nemovitých věcí</w:t>
      </w:r>
    </w:p>
    <w:p w14:paraId="2EDB11FB" w14:textId="77777777"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254DA05A" w14:textId="1A6905AA" w:rsidR="006A579C" w:rsidRDefault="00851874" w:rsidP="00131BE7">
      <w:pPr>
        <w:spacing w:line="276" w:lineRule="auto"/>
        <w:jc w:val="both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DF210C">
        <w:rPr>
          <w:rFonts w:ascii="Arial" w:hAnsi="Arial" w:cs="Arial"/>
        </w:rPr>
        <w:t>města Fryšták</w:t>
      </w:r>
      <w:r>
        <w:rPr>
          <w:rFonts w:ascii="Arial" w:hAnsi="Arial" w:cs="Arial"/>
        </w:rPr>
        <w:t xml:space="preserve"> se na svém zasedání dne </w:t>
      </w:r>
      <w:r w:rsidR="00131BE7">
        <w:rPr>
          <w:rFonts w:ascii="Arial" w:hAnsi="Arial" w:cs="Arial"/>
        </w:rPr>
        <w:t>25. 9. 2023</w:t>
      </w:r>
      <w:r w:rsidRPr="00851874">
        <w:rPr>
          <w:rFonts w:ascii="Arial" w:hAnsi="Arial" w:cs="Arial"/>
        </w:rPr>
        <w:t xml:space="preserve"> usnesením </w:t>
      </w:r>
      <w:r w:rsidR="00131BE7">
        <w:rPr>
          <w:rFonts w:ascii="Arial" w:hAnsi="Arial" w:cs="Arial"/>
        </w:rPr>
        <w:br/>
      </w:r>
      <w:r w:rsidRPr="00851874">
        <w:rPr>
          <w:rFonts w:ascii="Arial" w:hAnsi="Arial" w:cs="Arial"/>
        </w:rPr>
        <w:t xml:space="preserve">č. </w:t>
      </w:r>
      <w:r w:rsidR="00131BE7">
        <w:rPr>
          <w:rFonts w:ascii="Arial" w:hAnsi="Arial" w:cs="Arial"/>
        </w:rPr>
        <w:t>U Z 6/2023/IX/2b)</w:t>
      </w:r>
      <w:r w:rsidRPr="00851874">
        <w:rPr>
          <w:rFonts w:ascii="Arial" w:hAnsi="Arial" w:cs="Arial"/>
        </w:rPr>
        <w:t xml:space="preserve"> usneslo vydat na základě </w:t>
      </w:r>
      <w:r w:rsidR="00DA3552" w:rsidRPr="00DA3552">
        <w:rPr>
          <w:rFonts w:ascii="Arial" w:hAnsi="Arial" w:cs="Arial"/>
        </w:rPr>
        <w:t>§ 6 odst. 4 písm. b), § 11 odst. 3 písm. a) a b</w:t>
      </w:r>
      <w:r w:rsidR="00DA3552">
        <w:rPr>
          <w:rFonts w:ascii="Arial" w:hAnsi="Arial" w:cs="Arial"/>
        </w:rPr>
        <w:t>)</w:t>
      </w:r>
      <w:r w:rsidR="00DF210C">
        <w:rPr>
          <w:rFonts w:ascii="Arial" w:hAnsi="Arial" w:cs="Arial"/>
        </w:rPr>
        <w:t xml:space="preserve"> a § 12</w:t>
      </w:r>
      <w:r w:rsidR="00DA3552">
        <w:rPr>
          <w:rFonts w:ascii="Arial" w:hAnsi="Arial" w:cs="Arial"/>
        </w:rPr>
        <w:t xml:space="preserve"> zákona č. 338/1992 Sb., o </w:t>
      </w:r>
      <w:r w:rsidR="00DA3552" w:rsidRPr="00DA3552">
        <w:rPr>
          <w:rFonts w:ascii="Arial" w:hAnsi="Arial" w:cs="Arial"/>
        </w:rPr>
        <w:t>dani z nemovitých věcí, ve znění pozdějších předpisů (dále jen „zákon o dani z nemovitých věcí“) a § 84 odst. 2 písm. h) zákona č. 128/2000 Sb., o obcích (obecní zřízení), ve znění pozdějších předpisů, tuto obecně závaznou vyhlášku</w:t>
      </w:r>
      <w:r w:rsidR="00A02CFF">
        <w:rPr>
          <w:rFonts w:ascii="Arial" w:hAnsi="Arial" w:cs="Arial"/>
        </w:rPr>
        <w:t>:</w:t>
      </w:r>
    </w:p>
    <w:p w14:paraId="2E0D7231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54E27EF1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02CC5C9" w14:textId="77777777" w:rsidR="004F6AE0" w:rsidRPr="005F7FAE" w:rsidRDefault="00DA3552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Pozemky</w:t>
      </w:r>
    </w:p>
    <w:p w14:paraId="20AC6885" w14:textId="6CD94D9A" w:rsidR="00900ACE" w:rsidRDefault="0081247E" w:rsidP="00DA3552">
      <w:p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A3552" w:rsidRPr="00DA3552">
        <w:rPr>
          <w:rFonts w:ascii="Arial" w:hAnsi="Arial" w:cs="Arial"/>
        </w:rPr>
        <w:t>U stavebních pozemků v</w:t>
      </w:r>
      <w:r w:rsidR="003F53E0">
        <w:rPr>
          <w:rFonts w:ascii="Arial" w:hAnsi="Arial" w:cs="Arial"/>
        </w:rPr>
        <w:t xml:space="preserve">e městě Fryšták </w:t>
      </w:r>
      <w:r w:rsidR="00DA3552" w:rsidRPr="00DA3552">
        <w:rPr>
          <w:rFonts w:ascii="Arial" w:hAnsi="Arial" w:cs="Arial"/>
        </w:rPr>
        <w:t>se</w:t>
      </w:r>
      <w:r w:rsidR="00DA3552">
        <w:rPr>
          <w:rFonts w:ascii="Arial" w:hAnsi="Arial" w:cs="Arial"/>
        </w:rPr>
        <w:t xml:space="preserve"> stanovuje koeficient ve výši </w:t>
      </w:r>
      <w:r w:rsidR="004B3604">
        <w:rPr>
          <w:rFonts w:ascii="Arial" w:hAnsi="Arial" w:cs="Arial"/>
        </w:rPr>
        <w:t>1,4</w:t>
      </w:r>
      <w:r w:rsidR="00DA3552">
        <w:rPr>
          <w:rFonts w:ascii="Arial" w:hAnsi="Arial" w:cs="Arial"/>
        </w:rPr>
        <w:t>, kterým</w:t>
      </w:r>
      <w:r w:rsidR="00DA3552" w:rsidRPr="00DA3552">
        <w:rPr>
          <w:rFonts w:ascii="Arial" w:hAnsi="Arial" w:cs="Arial"/>
        </w:rPr>
        <w:t xml:space="preserve"> se násobí základní sazba daně.</w:t>
      </w:r>
    </w:p>
    <w:p w14:paraId="11326826" w14:textId="77777777" w:rsidR="00DA3552" w:rsidRPr="00900ACE" w:rsidRDefault="00DA3552" w:rsidP="00DA3552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55D22543" w14:textId="77777777" w:rsidR="000A75BD" w:rsidRDefault="000A75BD" w:rsidP="000A75B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79EC62AA" w14:textId="77777777" w:rsidR="00DA3552" w:rsidRDefault="00DA3552" w:rsidP="000A75BD">
      <w:pPr>
        <w:keepNext/>
        <w:spacing w:line="276" w:lineRule="auto"/>
        <w:jc w:val="center"/>
        <w:rPr>
          <w:rFonts w:ascii="Arial" w:hAnsi="Arial" w:cs="Arial"/>
          <w:b/>
        </w:rPr>
      </w:pPr>
      <w:r w:rsidRPr="00DA3552">
        <w:rPr>
          <w:rFonts w:ascii="Arial" w:hAnsi="Arial" w:cs="Arial"/>
          <w:b/>
        </w:rPr>
        <w:t>Zdanitelné stavby a zdanitelné jednotky</w:t>
      </w:r>
    </w:p>
    <w:p w14:paraId="7C92001A" w14:textId="252DA480" w:rsidR="00DA3552" w:rsidRPr="0062486B" w:rsidRDefault="00DA3552" w:rsidP="00DA355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491F73">
        <w:rPr>
          <w:rFonts w:ascii="Arial" w:hAnsi="Arial" w:cs="Arial"/>
        </w:rPr>
        <w:t xml:space="preserve">U zdanitelných staveb </w:t>
      </w:r>
      <w:r w:rsidRPr="003F53E0">
        <w:rPr>
          <w:rFonts w:ascii="Arial" w:hAnsi="Arial" w:cs="Arial"/>
        </w:rPr>
        <w:t xml:space="preserve">uvedených v § 11 odst. 1 písm. a) a ostatních zdanitelných jednotek uvedených v § 11 odst. 1 písm. f) zákona o dani z nemovitých věcí </w:t>
      </w:r>
      <w:r w:rsidRPr="00491F73">
        <w:rPr>
          <w:rFonts w:ascii="Arial" w:hAnsi="Arial" w:cs="Arial"/>
        </w:rPr>
        <w:t>se stanovuje koeficient, kterým se násobí základní sazba daně, případně sazba daně zvýšená podle § 11 odst. 2 zákona</w:t>
      </w:r>
      <w:r>
        <w:rPr>
          <w:rFonts w:ascii="Arial" w:hAnsi="Arial" w:cs="Arial"/>
        </w:rPr>
        <w:t xml:space="preserve"> o dani z nemovitých věcí</w:t>
      </w:r>
      <w:r w:rsidRPr="00491F73">
        <w:rPr>
          <w:rFonts w:ascii="Arial" w:hAnsi="Arial" w:cs="Arial"/>
        </w:rPr>
        <w:t>, ve výš</w:t>
      </w:r>
      <w:r>
        <w:rPr>
          <w:rFonts w:ascii="Arial" w:hAnsi="Arial" w:cs="Arial"/>
        </w:rPr>
        <w:t>i</w:t>
      </w:r>
      <w:r w:rsidR="0069040C">
        <w:rPr>
          <w:rFonts w:ascii="Arial" w:hAnsi="Arial" w:cs="Arial"/>
        </w:rPr>
        <w:t xml:space="preserve"> 1,4.</w:t>
      </w:r>
    </w:p>
    <w:p w14:paraId="081AD877" w14:textId="50BF55A2" w:rsidR="00847970" w:rsidRPr="000D22C5" w:rsidRDefault="00DA3552" w:rsidP="00CF08FF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491F73">
        <w:rPr>
          <w:rFonts w:ascii="Arial" w:hAnsi="Arial" w:cs="Arial"/>
        </w:rPr>
        <w:t xml:space="preserve">U zdanitelných staveb a zdanitelných jednotek </w:t>
      </w:r>
      <w:r w:rsidRPr="003F53E0">
        <w:rPr>
          <w:rFonts w:ascii="Arial" w:hAnsi="Arial" w:cs="Arial"/>
        </w:rPr>
        <w:t xml:space="preserve">uvedených v § 11 odst. 1 písm. b) až d) zákona o dani z nemovitých věcí </w:t>
      </w:r>
      <w:r w:rsidRPr="00491F73">
        <w:rPr>
          <w:rFonts w:ascii="Arial" w:hAnsi="Arial" w:cs="Arial"/>
        </w:rPr>
        <w:t xml:space="preserve">se stanovuje koeficient, kterým se násobí základní sazba daně, případně sazba daně zvýšená podle § 11 odst. 2 zákona </w:t>
      </w:r>
      <w:r>
        <w:rPr>
          <w:rFonts w:ascii="Arial" w:hAnsi="Arial" w:cs="Arial"/>
        </w:rPr>
        <w:t>o dani z nemovitých věcí</w:t>
      </w:r>
      <w:r w:rsidRPr="00491F73">
        <w:rPr>
          <w:rFonts w:ascii="Arial" w:hAnsi="Arial" w:cs="Arial"/>
        </w:rPr>
        <w:t>, ve výši 1,5.</w:t>
      </w:r>
    </w:p>
    <w:p w14:paraId="08EEF9D1" w14:textId="77777777" w:rsidR="000D22C5" w:rsidRPr="00900ACE" w:rsidRDefault="000D22C5" w:rsidP="000D22C5">
      <w:pPr>
        <w:tabs>
          <w:tab w:val="left" w:pos="1134"/>
        </w:tabs>
        <w:spacing w:line="276" w:lineRule="auto"/>
        <w:ind w:left="360"/>
        <w:rPr>
          <w:rFonts w:ascii="Arial" w:hAnsi="Arial" w:cs="Arial"/>
        </w:rPr>
      </w:pPr>
    </w:p>
    <w:p w14:paraId="52F27D53" w14:textId="77777777" w:rsidR="000D22C5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01E6D6EE" w14:textId="71892C1C" w:rsidR="003F53E0" w:rsidRDefault="003F53E0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Místní koeficient</w:t>
      </w:r>
    </w:p>
    <w:p w14:paraId="365CE653" w14:textId="480B1BF0" w:rsidR="003F53E0" w:rsidRDefault="003F53E0" w:rsidP="003F53E0">
      <w:pPr>
        <w:keepNext/>
        <w:spacing w:line="276" w:lineRule="auto"/>
        <w:ind w:firstLine="709"/>
        <w:rPr>
          <w:rFonts w:ascii="Arial" w:hAnsi="Arial" w:cs="Arial"/>
        </w:rPr>
      </w:pPr>
      <w:r w:rsidRPr="004569A7">
        <w:rPr>
          <w:rFonts w:ascii="Arial" w:hAnsi="Arial" w:cs="Arial"/>
        </w:rPr>
        <w:t xml:space="preserve">Místní </w:t>
      </w:r>
      <w:r w:rsidR="00CC2FDB">
        <w:rPr>
          <w:rFonts w:ascii="Arial" w:hAnsi="Arial" w:cs="Arial"/>
        </w:rPr>
        <w:t xml:space="preserve">koeficient se pro celé </w:t>
      </w:r>
      <w:r>
        <w:rPr>
          <w:rFonts w:ascii="Arial" w:hAnsi="Arial" w:cs="Arial"/>
        </w:rPr>
        <w:t>území města Fryšták</w:t>
      </w:r>
      <w:r w:rsidRPr="003101CC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stanoví ve výši </w:t>
      </w:r>
      <w:r w:rsidR="00131BE7">
        <w:rPr>
          <w:rFonts w:ascii="Arial" w:hAnsi="Arial" w:cs="Arial"/>
        </w:rPr>
        <w:t>1,5;</w:t>
      </w:r>
      <w:r w:rsidRPr="004569A7">
        <w:rPr>
          <w:rFonts w:ascii="Arial" w:hAnsi="Arial" w:cs="Arial"/>
        </w:rPr>
        <w:t xml:space="preserve"> kterým se násobí daň poplatníka za jednotlivé druhy pozemků, zdanitelných staveb nebo zdanitelných </w:t>
      </w:r>
      <w:r w:rsidRPr="004569A7">
        <w:rPr>
          <w:rFonts w:ascii="Arial" w:hAnsi="Arial" w:cs="Arial"/>
        </w:rPr>
        <w:lastRenderedPageBreak/>
        <w:t>jednotek, popřípadě jejich souhrny, s výjimkou pozemků uvedených v § 5 odst. 1 zákona o dani z nemovitých věcí.</w:t>
      </w:r>
    </w:p>
    <w:p w14:paraId="3E005589" w14:textId="77777777" w:rsidR="003F53E0" w:rsidRDefault="003F53E0" w:rsidP="000D22C5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46539A13" w14:textId="462AB5E4" w:rsidR="00A15BEA" w:rsidRPr="005F7FAE" w:rsidRDefault="00A15BEA" w:rsidP="00A15BE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3BBEAE0C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72E234" w14:textId="77777777" w:rsidR="003F53E0" w:rsidRPr="0062486B" w:rsidRDefault="003F53E0" w:rsidP="00131BE7">
      <w:pPr>
        <w:spacing w:line="276" w:lineRule="auto"/>
        <w:ind w:firstLine="709"/>
        <w:jc w:val="both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>
        <w:rPr>
          <w:rFonts w:ascii="Arial" w:hAnsi="Arial" w:cs="Arial"/>
        </w:rPr>
        <w:t>města Fryšták</w:t>
      </w:r>
      <w:r w:rsidRPr="0062486B">
        <w:rPr>
          <w:rFonts w:ascii="Arial" w:hAnsi="Arial" w:cs="Arial"/>
        </w:rPr>
        <w:t xml:space="preserve"> č. </w:t>
      </w:r>
      <w:r>
        <w:rPr>
          <w:rFonts w:ascii="Arial" w:hAnsi="Arial" w:cs="Arial"/>
        </w:rPr>
        <w:t>1/2009</w:t>
      </w:r>
      <w:r w:rsidRPr="0062486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 stanovení koeficientu pro výpočet daně z nemovitosti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11. 11. 2009.</w:t>
      </w:r>
    </w:p>
    <w:p w14:paraId="1C0F4F86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126A7D2E" w14:textId="211B75DD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A15BEA">
        <w:rPr>
          <w:rFonts w:ascii="Arial" w:hAnsi="Arial" w:cs="Arial"/>
          <w:b/>
        </w:rPr>
        <w:t>5</w:t>
      </w:r>
    </w:p>
    <w:p w14:paraId="1A511BB7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59F83A0" w14:textId="4060697F" w:rsidR="009C713D" w:rsidRDefault="009C713D" w:rsidP="009C713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>
        <w:rPr>
          <w:rFonts w:ascii="Arial" w:hAnsi="Arial" w:cs="Arial"/>
        </w:rPr>
        <w:t xml:space="preserve"> 1. 1. 2024.</w:t>
      </w:r>
    </w:p>
    <w:p w14:paraId="5341D365" w14:textId="77777777" w:rsidR="000D22C5" w:rsidRPr="0062486B" w:rsidRDefault="000D22C5" w:rsidP="00CF08FF">
      <w:pPr>
        <w:spacing w:line="276" w:lineRule="auto"/>
        <w:rPr>
          <w:rFonts w:ascii="Arial" w:hAnsi="Arial" w:cs="Arial"/>
        </w:rPr>
      </w:pPr>
    </w:p>
    <w:p w14:paraId="1F57BC7C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03E69F04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416F183F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5E0200C7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B6F3D7" w14:textId="77777777" w:rsidR="003F53E0" w:rsidRPr="0062486B" w:rsidRDefault="003F53E0" w:rsidP="003F53E0">
      <w:pPr>
        <w:spacing w:line="276" w:lineRule="auto"/>
        <w:rPr>
          <w:rFonts w:ascii="Arial" w:hAnsi="Arial" w:cs="Arial"/>
        </w:rPr>
      </w:pPr>
    </w:p>
    <w:p w14:paraId="34B582E8" w14:textId="77777777" w:rsidR="003F53E0" w:rsidRPr="0062486B" w:rsidRDefault="003F53E0" w:rsidP="003F53E0">
      <w:pPr>
        <w:spacing w:line="276" w:lineRule="auto"/>
        <w:rPr>
          <w:rFonts w:ascii="Arial" w:hAnsi="Arial" w:cs="Arial"/>
        </w:rPr>
        <w:sectPr w:rsidR="003F53E0" w:rsidRPr="0062486B" w:rsidSect="002C7F6B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26BC53D" w14:textId="77777777" w:rsidR="003F53E0" w:rsidRPr="0062486B" w:rsidRDefault="003F53E0" w:rsidP="003F53E0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6B7A8F85" w14:textId="77777777" w:rsidR="003F53E0" w:rsidRPr="0062486B" w:rsidRDefault="003F53E0" w:rsidP="003F53E0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Pavel Gálík v. r.</w:t>
      </w:r>
    </w:p>
    <w:p w14:paraId="57E0E3C4" w14:textId="77777777" w:rsidR="003F53E0" w:rsidRPr="0062486B" w:rsidRDefault="003F53E0" w:rsidP="003F53E0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698EB92E" w14:textId="77777777" w:rsidR="003F53E0" w:rsidRPr="0062486B" w:rsidRDefault="003F53E0" w:rsidP="003F53E0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Markéta Halaštová, DiS., v. r.</w:t>
      </w:r>
    </w:p>
    <w:p w14:paraId="236317E4" w14:textId="5BF8FCB5" w:rsidR="003F53E0" w:rsidRPr="0062486B" w:rsidRDefault="003F53E0" w:rsidP="003F53E0">
      <w:pPr>
        <w:spacing w:line="276" w:lineRule="auto"/>
        <w:jc w:val="center"/>
        <w:rPr>
          <w:rFonts w:ascii="Arial" w:hAnsi="Arial" w:cs="Arial"/>
        </w:rPr>
        <w:sectPr w:rsidR="003F53E0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A15BEA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</w:p>
    <w:p w14:paraId="2B985B2C" w14:textId="77777777" w:rsidR="003F53E0" w:rsidRPr="005F7FAE" w:rsidRDefault="003F53E0" w:rsidP="003F53E0">
      <w:pPr>
        <w:rPr>
          <w:rFonts w:ascii="Arial" w:hAnsi="Arial" w:cs="Arial"/>
        </w:rPr>
      </w:pPr>
    </w:p>
    <w:p w14:paraId="365A3CAA" w14:textId="77777777" w:rsidR="00BE624E" w:rsidRPr="005F7FAE" w:rsidRDefault="00BE624E" w:rsidP="00CF08FF">
      <w:pPr>
        <w:spacing w:line="276" w:lineRule="auto"/>
        <w:rPr>
          <w:rFonts w:ascii="Arial" w:hAnsi="Arial" w:cs="Arial"/>
        </w:rPr>
      </w:pPr>
    </w:p>
    <w:sectPr w:rsidR="00BE624E" w:rsidRPr="005F7FAE" w:rsidSect="008B09E5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E56EA" w14:textId="77777777" w:rsidR="009726AE" w:rsidRDefault="009726AE" w:rsidP="006A579C">
      <w:pPr>
        <w:spacing w:after="0"/>
      </w:pPr>
      <w:r>
        <w:separator/>
      </w:r>
    </w:p>
  </w:endnote>
  <w:endnote w:type="continuationSeparator" w:id="0">
    <w:p w14:paraId="68775AF0" w14:textId="77777777" w:rsidR="009726AE" w:rsidRDefault="009726AE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77C54B2D" w14:textId="65AEA693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C2FDB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6E1E785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Content>
      <w:p w14:paraId="0EEE7C8E" w14:textId="77777777" w:rsidR="003F53E0" w:rsidRPr="00456B24" w:rsidRDefault="003F53E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E2D17B1" w14:textId="77777777" w:rsidR="003F53E0" w:rsidRDefault="003F53E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AA1EEA3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14CDB1A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2F47A" w14:textId="77777777" w:rsidR="009726AE" w:rsidRDefault="009726AE" w:rsidP="006A579C">
      <w:pPr>
        <w:spacing w:after="0"/>
      </w:pPr>
      <w:r>
        <w:separator/>
      </w:r>
    </w:p>
  </w:footnote>
  <w:footnote w:type="continuationSeparator" w:id="0">
    <w:p w14:paraId="3F1D5354" w14:textId="77777777" w:rsidR="009726AE" w:rsidRDefault="009726AE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977130">
    <w:abstractNumId w:val="2"/>
  </w:num>
  <w:num w:numId="2" w16cid:durableId="97258401">
    <w:abstractNumId w:val="4"/>
  </w:num>
  <w:num w:numId="3" w16cid:durableId="269633459">
    <w:abstractNumId w:val="3"/>
  </w:num>
  <w:num w:numId="4" w16cid:durableId="1356612695">
    <w:abstractNumId w:val="15"/>
  </w:num>
  <w:num w:numId="5" w16cid:durableId="637759717">
    <w:abstractNumId w:val="7"/>
  </w:num>
  <w:num w:numId="6" w16cid:durableId="1228762656">
    <w:abstractNumId w:val="11"/>
  </w:num>
  <w:num w:numId="7" w16cid:durableId="1238249956">
    <w:abstractNumId w:val="17"/>
  </w:num>
  <w:num w:numId="8" w16cid:durableId="1069495704">
    <w:abstractNumId w:val="13"/>
  </w:num>
  <w:num w:numId="9" w16cid:durableId="497384930">
    <w:abstractNumId w:val="8"/>
  </w:num>
  <w:num w:numId="10" w16cid:durableId="624852485">
    <w:abstractNumId w:val="10"/>
  </w:num>
  <w:num w:numId="11" w16cid:durableId="828407051">
    <w:abstractNumId w:val="0"/>
  </w:num>
  <w:num w:numId="12" w16cid:durableId="445858412">
    <w:abstractNumId w:val="9"/>
  </w:num>
  <w:num w:numId="13" w16cid:durableId="5450277">
    <w:abstractNumId w:val="5"/>
  </w:num>
  <w:num w:numId="14" w16cid:durableId="1720469694">
    <w:abstractNumId w:val="16"/>
  </w:num>
  <w:num w:numId="15" w16cid:durableId="299575830">
    <w:abstractNumId w:val="14"/>
  </w:num>
  <w:num w:numId="16" w16cid:durableId="2045403105">
    <w:abstractNumId w:val="6"/>
  </w:num>
  <w:num w:numId="17" w16cid:durableId="1426070160">
    <w:abstractNumId w:val="12"/>
  </w:num>
  <w:num w:numId="18" w16cid:durableId="116024460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5303"/>
    <w:rsid w:val="00055E23"/>
    <w:rsid w:val="000569AF"/>
    <w:rsid w:val="00063EBD"/>
    <w:rsid w:val="00067D6B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1BE7"/>
    <w:rsid w:val="001456CE"/>
    <w:rsid w:val="001475D9"/>
    <w:rsid w:val="00161876"/>
    <w:rsid w:val="00164286"/>
    <w:rsid w:val="00166020"/>
    <w:rsid w:val="00174DC2"/>
    <w:rsid w:val="0017674B"/>
    <w:rsid w:val="001860B6"/>
    <w:rsid w:val="001918E5"/>
    <w:rsid w:val="001C1D49"/>
    <w:rsid w:val="001C55C2"/>
    <w:rsid w:val="001E13DF"/>
    <w:rsid w:val="001E742B"/>
    <w:rsid w:val="00207049"/>
    <w:rsid w:val="00216214"/>
    <w:rsid w:val="00222384"/>
    <w:rsid w:val="00222B8D"/>
    <w:rsid w:val="00227E86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79FD"/>
    <w:rsid w:val="002A28DF"/>
    <w:rsid w:val="002A4602"/>
    <w:rsid w:val="002A49BF"/>
    <w:rsid w:val="002B3412"/>
    <w:rsid w:val="002B5A8C"/>
    <w:rsid w:val="002B784A"/>
    <w:rsid w:val="002C2179"/>
    <w:rsid w:val="002C7F6B"/>
    <w:rsid w:val="002D34BB"/>
    <w:rsid w:val="002E003E"/>
    <w:rsid w:val="002E54A1"/>
    <w:rsid w:val="002F2B44"/>
    <w:rsid w:val="002F2D1B"/>
    <w:rsid w:val="002F306E"/>
    <w:rsid w:val="0030227C"/>
    <w:rsid w:val="003101CC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0056"/>
    <w:rsid w:val="003D64C8"/>
    <w:rsid w:val="003E4092"/>
    <w:rsid w:val="003E4F5B"/>
    <w:rsid w:val="003F53E0"/>
    <w:rsid w:val="003F7399"/>
    <w:rsid w:val="0040012E"/>
    <w:rsid w:val="00404FBB"/>
    <w:rsid w:val="004062DB"/>
    <w:rsid w:val="00422840"/>
    <w:rsid w:val="004230A9"/>
    <w:rsid w:val="00431597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808E9"/>
    <w:rsid w:val="00480B9F"/>
    <w:rsid w:val="00485F06"/>
    <w:rsid w:val="00494E10"/>
    <w:rsid w:val="004A283C"/>
    <w:rsid w:val="004A7D28"/>
    <w:rsid w:val="004B3604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1D98"/>
    <w:rsid w:val="00502228"/>
    <w:rsid w:val="00502E97"/>
    <w:rsid w:val="005033A3"/>
    <w:rsid w:val="00507718"/>
    <w:rsid w:val="00511967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6B45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20A53"/>
    <w:rsid w:val="0062486B"/>
    <w:rsid w:val="006362D7"/>
    <w:rsid w:val="0064432C"/>
    <w:rsid w:val="006461B3"/>
    <w:rsid w:val="006503EB"/>
    <w:rsid w:val="0065481A"/>
    <w:rsid w:val="00655217"/>
    <w:rsid w:val="00656359"/>
    <w:rsid w:val="00660D1D"/>
    <w:rsid w:val="00671821"/>
    <w:rsid w:val="00677DEE"/>
    <w:rsid w:val="0068738F"/>
    <w:rsid w:val="0069040C"/>
    <w:rsid w:val="0069326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6362"/>
    <w:rsid w:val="00711521"/>
    <w:rsid w:val="00713971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726AE"/>
    <w:rsid w:val="00990770"/>
    <w:rsid w:val="00992A09"/>
    <w:rsid w:val="00994238"/>
    <w:rsid w:val="009A781E"/>
    <w:rsid w:val="009C485B"/>
    <w:rsid w:val="009C6A5E"/>
    <w:rsid w:val="009C713D"/>
    <w:rsid w:val="009E04F1"/>
    <w:rsid w:val="009E2898"/>
    <w:rsid w:val="009E7EC8"/>
    <w:rsid w:val="009F1715"/>
    <w:rsid w:val="009F74FB"/>
    <w:rsid w:val="00A0227D"/>
    <w:rsid w:val="00A02CFF"/>
    <w:rsid w:val="00A05E0E"/>
    <w:rsid w:val="00A07872"/>
    <w:rsid w:val="00A15BEA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A1881"/>
    <w:rsid w:val="00AA35E2"/>
    <w:rsid w:val="00AC786D"/>
    <w:rsid w:val="00AD1304"/>
    <w:rsid w:val="00AD2BD0"/>
    <w:rsid w:val="00AD650B"/>
    <w:rsid w:val="00AE0DBD"/>
    <w:rsid w:val="00AE213D"/>
    <w:rsid w:val="00AF490C"/>
    <w:rsid w:val="00AF60FC"/>
    <w:rsid w:val="00B05C96"/>
    <w:rsid w:val="00B11D2D"/>
    <w:rsid w:val="00B25C59"/>
    <w:rsid w:val="00B343DC"/>
    <w:rsid w:val="00B36991"/>
    <w:rsid w:val="00B536DC"/>
    <w:rsid w:val="00B57812"/>
    <w:rsid w:val="00B61842"/>
    <w:rsid w:val="00B77994"/>
    <w:rsid w:val="00B922C0"/>
    <w:rsid w:val="00B96CC7"/>
    <w:rsid w:val="00B97081"/>
    <w:rsid w:val="00B97EFF"/>
    <w:rsid w:val="00BB0433"/>
    <w:rsid w:val="00BD61B2"/>
    <w:rsid w:val="00BD7576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589F"/>
    <w:rsid w:val="00CB5B60"/>
    <w:rsid w:val="00CC0D89"/>
    <w:rsid w:val="00CC2B8A"/>
    <w:rsid w:val="00CC2FDB"/>
    <w:rsid w:val="00CC6EC1"/>
    <w:rsid w:val="00CC7114"/>
    <w:rsid w:val="00CF08FF"/>
    <w:rsid w:val="00CF37AF"/>
    <w:rsid w:val="00CF6BAC"/>
    <w:rsid w:val="00D11E53"/>
    <w:rsid w:val="00D139B1"/>
    <w:rsid w:val="00D300EC"/>
    <w:rsid w:val="00D4330C"/>
    <w:rsid w:val="00D4368B"/>
    <w:rsid w:val="00D47652"/>
    <w:rsid w:val="00D57797"/>
    <w:rsid w:val="00D74E16"/>
    <w:rsid w:val="00D77DC6"/>
    <w:rsid w:val="00D909A3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5F9C"/>
    <w:rsid w:val="00DE6BC1"/>
    <w:rsid w:val="00DE7160"/>
    <w:rsid w:val="00DF0B57"/>
    <w:rsid w:val="00DF210C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629B8"/>
    <w:rsid w:val="00E76741"/>
    <w:rsid w:val="00E7765B"/>
    <w:rsid w:val="00E872FB"/>
    <w:rsid w:val="00E9753A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38C0"/>
    <w:rsid w:val="00F25626"/>
    <w:rsid w:val="00F3150C"/>
    <w:rsid w:val="00F323AE"/>
    <w:rsid w:val="00F40F25"/>
    <w:rsid w:val="00F45048"/>
    <w:rsid w:val="00F47364"/>
    <w:rsid w:val="00F5586F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486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A417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34BB"/>
  </w:style>
  <w:style w:type="paragraph" w:styleId="Nadpis1">
    <w:name w:val="heading 1"/>
    <w:basedOn w:val="Normln"/>
    <w:next w:val="Normln"/>
    <w:link w:val="Nadpis1Char"/>
    <w:uiPriority w:val="9"/>
    <w:qFormat/>
    <w:rsid w:val="002D34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D34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D34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34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D34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34B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34B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34B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34B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</w:pPr>
  </w:style>
  <w:style w:type="paragraph" w:styleId="Zkladntext">
    <w:name w:val="Body Text"/>
    <w:basedOn w:val="Normln"/>
    <w:link w:val="ZkladntextChar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rsid w:val="00F22B96"/>
    <w:pPr>
      <w:spacing w:line="276" w:lineRule="auto"/>
    </w:pPr>
    <w:rPr>
      <w:rFonts w:ascii="Arial" w:hAnsi="Arial" w:cs="Arial"/>
    </w:rPr>
  </w:style>
  <w:style w:type="paragraph" w:customStyle="1" w:styleId="obsah2">
    <w:name w:val="obsah2"/>
    <w:basedOn w:val="Normln"/>
    <w:rsid w:val="00F22B96"/>
    <w:pPr>
      <w:keepNext/>
      <w:spacing w:line="276" w:lineRule="auto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2D34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2D34BB"/>
    <w:pPr>
      <w:outlineLvl w:val="9"/>
    </w:pPr>
  </w:style>
  <w:style w:type="character" w:customStyle="1" w:styleId="Nadpis2Char">
    <w:name w:val="Nadpis 2 Char"/>
    <w:basedOn w:val="Standardnpsmoodstavce"/>
    <w:link w:val="Nadpis2"/>
    <w:uiPriority w:val="9"/>
    <w:rsid w:val="002D34B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D34BB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D34B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D34B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D34BB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34BB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34BB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34BB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D34B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D34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D34BB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D34BB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D34BB"/>
    <w:rPr>
      <w:color w:val="5A5A5A" w:themeColor="text1" w:themeTint="A5"/>
      <w:spacing w:val="15"/>
    </w:rPr>
  </w:style>
  <w:style w:type="character" w:styleId="Siln">
    <w:name w:val="Strong"/>
    <w:basedOn w:val="Standardnpsmoodstavce"/>
    <w:uiPriority w:val="22"/>
    <w:qFormat/>
    <w:rsid w:val="002D34BB"/>
    <w:rPr>
      <w:b/>
      <w:bCs/>
      <w:color w:val="auto"/>
    </w:rPr>
  </w:style>
  <w:style w:type="character" w:styleId="Zdraznn">
    <w:name w:val="Emphasis"/>
    <w:basedOn w:val="Standardnpsmoodstavce"/>
    <w:uiPriority w:val="20"/>
    <w:qFormat/>
    <w:rsid w:val="002D34BB"/>
    <w:rPr>
      <w:i/>
      <w:iCs/>
      <w:color w:val="auto"/>
    </w:rPr>
  </w:style>
  <w:style w:type="paragraph" w:styleId="Bezmezer">
    <w:name w:val="No Spacing"/>
    <w:uiPriority w:val="1"/>
    <w:qFormat/>
    <w:rsid w:val="002D34BB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D34BB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D34BB"/>
    <w:rPr>
      <w:i/>
      <w:iCs/>
      <w:color w:val="404040" w:themeColor="text1" w:themeTint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D34B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D34BB"/>
    <w:rPr>
      <w:i/>
      <w:iCs/>
      <w:color w:val="5B9BD5" w:themeColor="accent1"/>
    </w:rPr>
  </w:style>
  <w:style w:type="character" w:styleId="Zdraznnjemn">
    <w:name w:val="Subtle Emphasis"/>
    <w:basedOn w:val="Standardnpsmoodstavce"/>
    <w:uiPriority w:val="19"/>
    <w:qFormat/>
    <w:rsid w:val="002D34BB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2D34BB"/>
    <w:rPr>
      <w:i/>
      <w:iCs/>
      <w:color w:val="5B9BD5" w:themeColor="accent1"/>
    </w:rPr>
  </w:style>
  <w:style w:type="character" w:styleId="Odkazjemn">
    <w:name w:val="Subtle Reference"/>
    <w:basedOn w:val="Standardnpsmoodstavce"/>
    <w:uiPriority w:val="31"/>
    <w:qFormat/>
    <w:rsid w:val="002D34BB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2D34BB"/>
    <w:rPr>
      <w:b/>
      <w:bCs/>
      <w:smallCaps/>
      <w:color w:val="5B9BD5" w:themeColor="accent1"/>
      <w:spacing w:val="5"/>
    </w:rPr>
  </w:style>
  <w:style w:type="character" w:styleId="Nzevknihy">
    <w:name w:val="Book Title"/>
    <w:basedOn w:val="Standardnpsmoodstavce"/>
    <w:uiPriority w:val="33"/>
    <w:qFormat/>
    <w:rsid w:val="002D34BB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94E8D-7EC2-4D5A-BDCF-FF3B81D5B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l_eliasova</cp:lastModifiedBy>
  <cp:revision>5</cp:revision>
  <cp:lastPrinted>2023-08-14T06:35:00Z</cp:lastPrinted>
  <dcterms:created xsi:type="dcterms:W3CDTF">2023-09-04T07:16:00Z</dcterms:created>
  <dcterms:modified xsi:type="dcterms:W3CDTF">2023-09-26T05:41:00Z</dcterms:modified>
</cp:coreProperties>
</file>